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一季度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奈曼旗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规模以上工业经济取得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“开门稳”“开门红”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1-3月，全旗规模以上工业增加值当月增速16.6%，累计增速32.6%，位居全市第二位。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从三大门类看，采矿业增加值同比下降50.7%；制造业同比增长47.7%；电力、热力、燃气及水生产和供应业同比下降3.2%。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从经济类型看，国有控股企业增加值同比下降12.9%；私营企业同比增长41.9%。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从重点行业来看，农副食品加工业增加值同比增长109.4%；铁合金冶炼业同比增长11.9%；非金属矿物制品业同比增长16.2%；电力生产业同比下降7.7%。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奈曼旗统计局</w:t>
      </w: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2023年4月19日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ZmIxNTMxMTUyODk5ZDFhOTU1NmMzZmYwZDRiMDgifQ=="/>
  </w:docVars>
  <w:rsids>
    <w:rsidRoot w:val="7C682263"/>
    <w:rsid w:val="02C379B0"/>
    <w:rsid w:val="1678446A"/>
    <w:rsid w:val="37FA4856"/>
    <w:rsid w:val="3D392982"/>
    <w:rsid w:val="3DC14FA9"/>
    <w:rsid w:val="484328E0"/>
    <w:rsid w:val="53D51C36"/>
    <w:rsid w:val="5B8B5E98"/>
    <w:rsid w:val="7C68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279</Characters>
  <Lines>0</Lines>
  <Paragraphs>0</Paragraphs>
  <TotalTime>17</TotalTime>
  <ScaleCrop>false</ScaleCrop>
  <LinksUpToDate>false</LinksUpToDate>
  <CharactersWithSpaces>279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2023-03-17T00:42:00Z</dcterms:created>
  <dc:creator>爱泽</dc:creator>
  <cp:lastModifiedBy>刘宾</cp:lastModifiedBy>
  <dcterms:modified xsi:type="dcterms:W3CDTF">2023-04-19T03:29:48Z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BA3618BBEFD8436CBB0E9E82707312BF</vt:lpwstr>
  </property>
</Properties>
</file>