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奈曼旗</w:t>
      </w:r>
      <w:r>
        <w:rPr>
          <w:rFonts w:hint="eastAsia" w:ascii="宋体" w:hAnsi="宋体"/>
          <w:b/>
          <w:color w:val="000000"/>
          <w:sz w:val="36"/>
          <w:szCs w:val="36"/>
        </w:rPr>
        <w:t>最美家庭推荐表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05"/>
        <w:gridCol w:w="835"/>
        <w:gridCol w:w="513"/>
        <w:gridCol w:w="370"/>
        <w:gridCol w:w="579"/>
        <w:gridCol w:w="321"/>
        <w:gridCol w:w="1238"/>
        <w:gridCol w:w="1417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王福生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18747504809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束龙沟村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通辽市奈曼旗土城子乡束龙沟村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家庭其他主要成员情况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周凤芹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束龙沟村农民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家庭成员有无违规违纪、违法犯罪记录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简介（300字）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王福生，是一个本分忠厚友善的朴实农民，妻子也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是一位厚道品行端正、持家有道的女人，夫妻二人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仅靠种地把儿子培育成一名大学生现以成家且有稳定的工作，是一个温馨和睦的小家庭。王福生家庭美满同时不忘奉献，热衷于公益事业做好事讲奉献参加各项志愿服务，如在新冠病毒疫情期间担任网格员，不忌回报、不怕苦、不惧畏病毒风险冲在第一线。</w:t>
            </w: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苏木乡镇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妇联或推荐单位意见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662413F3"/>
    <w:rsid w:val="662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2023-02-23T02:11:00Z</dcterms:created>
  <dc:creator>洲州15144819717</dc:creator>
  <cp:lastModifiedBy>洲州15144819717</cp:lastModifiedBy>
  <dcterms:modified xsi:type="dcterms:W3CDTF">2023-02-23T02:13:45Z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EBBDB0D36FAD46BDA607BBDA587D9D61</vt:lpwstr>
  </property>
</Properties>
</file>