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2022年度行政事业性国有资产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.分析报告</w:t>
      </w:r>
    </w:p>
    <w:p/>
    <w:p>
      <w:pPr>
        <w:pStyle w:val="9"/>
        <w:numPr>
          <w:ilvl w:val="0"/>
          <w:numId w:val="1"/>
        </w:numPr>
        <w:spacing w:line="360" w:lineRule="auto"/>
        <w:ind w:firstLineChars="0"/>
      </w:pPr>
      <w:r>
        <w:rPr>
          <w:rFonts w:hint="eastAsia" w:ascii="黑体" w:hAnsi="仿宋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地区/部门的基本情况</w:t>
      </w:r>
    </w:p>
    <w:p>
      <w:pPr>
        <w:spacing w:line="360" w:lineRule="auto"/>
        <w:ind w:firstLine="640" w:firstLineChars="200"/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截至2022年12月31日，已纳入我部门资产报表编制范围的单位共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户，独立编制机构数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个，较上年度增长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个。编制人数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人，年末实有人数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人，较上年度增长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仿宋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行政事业单位国有资产情况分析</w:t>
      </w:r>
    </w:p>
    <w:p>
      <w:pPr>
        <w:spacing w:line="360" w:lineRule="auto"/>
        <w:ind w:firstLine="636" w:firstLineChars="198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资产的总体情况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年12月31日，我部门资产总计账面数（净值，下同）7.15万元，较上年增长</w:t>
      </w:r>
      <w:r>
        <w:rPr>
          <w:rFonts w:hint="eastAsia" w:ascii="宋体" w:eastAsia="宋体" w:hAnsiTheme="minorEastAsia"/>
          <w:color w:val="auto"/>
          <w:sz w:val="27"/>
        </w:rPr>
        <w:t>10.76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%；负债总计账面数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万元,较上年增长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%。净资产总计账面数</w:t>
      </w:r>
      <w:r>
        <w:rPr>
          <w:rFonts w:hint="eastAsia" w:ascii="宋体" w:eastAsia="宋体" w:hAnsiTheme="minorEastAsia"/>
          <w:color w:val="auto"/>
          <w:sz w:val="27"/>
        </w:rPr>
        <w:t>7.15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万元,较上年增长</w:t>
      </w:r>
      <w:r>
        <w:rPr>
          <w:rFonts w:hint="eastAsia" w:ascii="宋体" w:eastAsia="宋体" w:hAnsiTheme="minorEastAsia"/>
          <w:color w:val="auto"/>
          <w:sz w:val="27"/>
        </w:rPr>
        <w:t>10.76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资产分布情况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2022年度，我部门行政单位国有资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产</w:t>
      </w:r>
      <w:r>
        <w:rPr>
          <w:rFonts w:hint="eastAsia" w:ascii="宋体" w:eastAsia="宋体" w:hAnsiTheme="minorEastAsia"/>
          <w:color w:val="auto"/>
          <w:sz w:val="27"/>
        </w:rPr>
        <w:t>7.15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100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%；事业单位国有资产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%；其中执行民间非营利组织会计制度的社会团体国有资产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资产构成情况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2022年度，流动资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%；固定资产</w:t>
      </w:r>
      <w:r>
        <w:rPr>
          <w:rFonts w:hint="eastAsia" w:ascii="宋体" w:eastAsia="宋体" w:hAnsiTheme="minorEastAsia"/>
          <w:color w:val="auto"/>
          <w:sz w:val="27"/>
        </w:rPr>
        <w:t>7.15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</w:t>
      </w:r>
      <w:r>
        <w:rPr>
          <w:rFonts w:hint="eastAsia" w:ascii="宋体" w:eastAsia="宋体" w:hAnsiTheme="minorEastAsia"/>
          <w:color w:val="auto"/>
          <w:sz w:val="27"/>
        </w:rPr>
        <w:t>100.00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%；在建工程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占资产总额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%；长期投资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%；无形资产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%；公共基础设施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%；政府储备物资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%；文物文化资产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%；保障性住房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固定资产构成情况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2022年度，我部门固定资产期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末账面数原值</w:t>
      </w:r>
      <w:r>
        <w:rPr>
          <w:rFonts w:hint="eastAsia" w:ascii="宋体" w:eastAsia="宋体" w:hAnsiTheme="minorEastAsia"/>
          <w:color w:val="auto"/>
          <w:sz w:val="27"/>
        </w:rPr>
        <w:t>42.52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万元，累计折旧</w:t>
      </w:r>
      <w:r>
        <w:rPr>
          <w:rFonts w:hint="eastAsia" w:ascii="宋体" w:eastAsia="宋体" w:hAnsiTheme="minorEastAsia"/>
          <w:color w:val="auto"/>
          <w:sz w:val="27"/>
        </w:rPr>
        <w:t>35.37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万元，净值</w:t>
      </w:r>
      <w:r>
        <w:rPr>
          <w:rFonts w:hint="eastAsia" w:ascii="宋体" w:eastAsia="宋体" w:hAnsiTheme="minorEastAsia"/>
          <w:color w:val="auto"/>
          <w:sz w:val="27"/>
        </w:rPr>
        <w:t>7.15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万元，其中：土地、房屋及构筑物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万元，占固定资产的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%（其中，房屋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万元，占固定资产的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%）；设备</w:t>
      </w:r>
      <w:r>
        <w:rPr>
          <w:rFonts w:hint="eastAsia" w:ascii="宋体" w:eastAsia="宋体" w:hAnsiTheme="minorEastAsia"/>
          <w:color w:val="auto"/>
          <w:sz w:val="27"/>
        </w:rPr>
        <w:t>37.26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42.89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%（其中，车辆</w:t>
      </w:r>
      <w:r>
        <w:rPr>
          <w:rFonts w:hint="eastAsia" w:ascii="宋体" w:eastAsia="宋体" w:hAnsiTheme="minorEastAsia"/>
          <w:color w:val="auto"/>
          <w:sz w:val="27"/>
        </w:rPr>
        <w:t>22.18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%，单价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0万（含）以上（不含车辆）设备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%）；文物和陈列品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%；图书档案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%；家具、用具、装具</w:t>
      </w:r>
      <w:r>
        <w:rPr>
          <w:rFonts w:hint="eastAsia" w:ascii="宋体" w:eastAsia="宋体" w:hAnsiTheme="minorEastAsia"/>
          <w:color w:val="auto"/>
          <w:sz w:val="27"/>
        </w:rPr>
        <w:t>5.26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57.11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;特种动植物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36" w:firstLineChars="198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）资产配置、使用、处置、收益情况分析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资产配置情况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2022年度，我部门配置固定资产</w:t>
      </w:r>
      <w:r>
        <w:rPr>
          <w:rFonts w:hint="eastAsia" w:ascii="宋体" w:eastAsia="宋体" w:hAnsiTheme="minorEastAsia"/>
          <w:color w:val="auto"/>
          <w:sz w:val="27"/>
        </w:rPr>
        <w:t>2.36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万元（账面原值，下同）。从资产类别分析，配置土地、房屋及构筑物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%；配置设备</w:t>
      </w:r>
      <w:r>
        <w:rPr>
          <w:rFonts w:hint="eastAsia" w:ascii="宋体" w:eastAsia="宋体" w:hAnsiTheme="minorEastAsia"/>
          <w:color w:val="auto"/>
          <w:sz w:val="27"/>
        </w:rPr>
        <w:t>0.49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20.79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%；配置文物和陈列品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%；配置图书档案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%；配置家具、用具、装具</w:t>
      </w:r>
      <w:r>
        <w:rPr>
          <w:rFonts w:hint="eastAsia" w:ascii="宋体" w:eastAsia="宋体" w:hAnsiTheme="minorEastAsia"/>
          <w:color w:val="auto"/>
          <w:sz w:val="27"/>
        </w:rPr>
        <w:t>1.87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79.21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配置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特种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动植物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从配置方式分析，新购</w:t>
      </w:r>
      <w:r>
        <w:rPr>
          <w:rFonts w:hint="eastAsia" w:ascii="宋体" w:eastAsia="宋体" w:hAnsiTheme="minorEastAsia"/>
          <w:color w:val="auto"/>
          <w:sz w:val="27"/>
        </w:rPr>
        <w:t>0.49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20.79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%；调拨</w:t>
      </w:r>
      <w:r>
        <w:rPr>
          <w:rFonts w:hint="eastAsia" w:ascii="宋体" w:eastAsia="宋体" w:hAnsiTheme="minorEastAsia"/>
          <w:color w:val="auto"/>
          <w:sz w:val="27"/>
        </w:rPr>
        <w:t>1.87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79.21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%；接受捐赠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%；置换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%；其他方式新增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我部门配置无形资产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万元。从资产类别分析，配置专利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万元，占%；配置非专利技术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万元，占%；配置土地使用权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万元，占%；配置计算机软件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万元，占%。从配置方式分析，新购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万元，占%；调拨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万元，占%；接受捐赠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万元，占%；置换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万元，占%；其他方式新增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我部门配置在建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工程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资产使用情况</w:t>
      </w:r>
    </w:p>
    <w:p>
      <w:pPr>
        <w:spacing w:line="360" w:lineRule="auto"/>
        <w:ind w:firstLine="643" w:firstLineChars="200"/>
        <w:rPr>
          <w:rFonts w:hint="default" w:ascii="仿宋_GB2312" w:hAnsi="Calibri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（1）资产使用情况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截至2022年12月31日，我部门自用固定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资产</w:t>
      </w:r>
      <w:r>
        <w:rPr>
          <w:rFonts w:hint="eastAsia" w:ascii="宋体" w:eastAsia="宋体" w:hAnsiTheme="minorEastAsia"/>
          <w:color w:val="auto"/>
          <w:sz w:val="27"/>
        </w:rPr>
        <w:t>42.52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万元，占账面固定资产总额的</w:t>
      </w:r>
      <w:r>
        <w:rPr>
          <w:rFonts w:hint="eastAsia" w:ascii="宋体" w:eastAsia="宋体" w:hAnsiTheme="minorEastAsia"/>
          <w:color w:val="auto"/>
          <w:sz w:val="27"/>
        </w:rPr>
        <w:t>100.00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%，其中:在用</w:t>
      </w:r>
      <w:r>
        <w:rPr>
          <w:rFonts w:hint="eastAsia" w:ascii="宋体" w:eastAsia="宋体" w:hAnsiTheme="minorEastAsia"/>
          <w:color w:val="auto"/>
          <w:sz w:val="27"/>
        </w:rPr>
        <w:t>42.52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万元，占账面固定资产总额的</w:t>
      </w:r>
      <w:r>
        <w:rPr>
          <w:rFonts w:hint="eastAsia" w:ascii="宋体" w:eastAsia="宋体" w:hAnsiTheme="minorEastAsia"/>
          <w:color w:val="auto"/>
          <w:sz w:val="27"/>
        </w:rPr>
        <w:t>100.00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%；闲置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万元，占账面固定资产总额的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%；待处置（待报废、毁损等）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万元，占账面固定资产总额的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%。自用无形资产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万元，占账面无形资产总额的%；其中在用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万元，占账面无形资产总额的%；闲置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万元，占账面无形资产总额的%；待处置（待报废、毁损等）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万元，占账面无形资产总额的%。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（2）出租出借情况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截至2022年12月31日，我部门出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租出借资产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%。其中，流动资产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%；固定资产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%；无形资产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%；在建工程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%；其他资产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%.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2022年度新增出租出借资产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万元。其中，流动资产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万元，占%；固定资产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万元，占%；无形资产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万元，占%,在建工程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万元，占%,其他资产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（3）对外投资情况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截至2022年12月31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日，我部门对外投资总额万元。其中，短期投资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万元，；长期债券投资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万元；长期股权投资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2022年度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新增对外投资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笔，账面原值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万元。其中，短期投资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笔，账面原值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万元；长期债券投资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笔，账面原值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万元；长期股权投资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笔，账面原值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资产处置情况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2022年度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，我部门处置资产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万元。从资产类别分析,流动资产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万元，占%；固定资产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万元，占%；无形资产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万元，占%；长期投资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万元，占%；在建工程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万元，占%；其他资产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万元，占%。从处置形式上分析，出售\出让\转让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万元，占%；无偿调拨（划转）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万元，占%；对外捐赠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万元，占%；置换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万元，占%；报废报损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万元，占%；货币性资产损失核销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万元，占%，其他方式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资产收益情况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2022年度，我部门出租出借资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产收益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万元，其中，流动资产收益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万元，占%；固定资产收益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万元，占%；无形资产收益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万元，占%；在建工程收益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万元，占%；其他资产收益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万元，占%；往期出租出借资产收益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万元，占%。对外投资收益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万元，其中，短期投资收益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万元，占%；长期债券投资收益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万元，占%；长期股权投资收益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万元，占%。资产处置收益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万元，其中：本期处置资产收益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万元，占%；往期处置资产收益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万元，占%。</w:t>
      </w:r>
    </w:p>
    <w:p>
      <w:pPr>
        <w:spacing w:line="360" w:lineRule="auto"/>
        <w:ind w:firstLine="636" w:firstLineChars="198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）资产总体绩效情况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资产整体配置效率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）土地资产情况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截至2022年12月31日，我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部门土地账面面积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万元，账面净值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万元。从使用状况分析：在用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平方米，占比%，出租出借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平方米，占比%，闲置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平方米，占比%，待处置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平方米，占比%。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新增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平方米，账面原值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）房屋资产情况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截至2022年12月31日，我部门房屋账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面面积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平方米，账面价值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万元，其中办公用房面积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平方米，占房屋的%；业务用房面积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平方米，占%；其他用房面积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平方米，占%。从使用状况分析：在用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平方米，占%,出租出借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平方米，占%,闲置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平方米，占%,待处置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本年度新增账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面面积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万元；本年度处置账面面积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）车辆资产情况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截至2022年12月31日，我部门车辆账面数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量</w:t>
      </w:r>
      <w:r>
        <w:rPr>
          <w:rFonts w:hint="eastAsia" w:ascii="宋体" w:eastAsia="宋体" w:hAnsiTheme="minorEastAsia"/>
          <w:color w:val="auto"/>
          <w:sz w:val="27"/>
        </w:rPr>
        <w:t>1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辆，账面原值</w:t>
      </w:r>
      <w:r>
        <w:rPr>
          <w:rFonts w:hint="eastAsia" w:ascii="宋体" w:eastAsia="宋体" w:hAnsiTheme="minorEastAsia"/>
          <w:color w:val="auto"/>
          <w:sz w:val="27"/>
        </w:rPr>
        <w:t>22.18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万元，账面净值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万元。从使用状况分析：在用</w:t>
      </w:r>
      <w:r>
        <w:rPr>
          <w:rFonts w:hint="eastAsia" w:ascii="宋体" w:eastAsia="宋体" w:hAnsiTheme="minorEastAsia"/>
          <w:color w:val="auto"/>
          <w:sz w:val="27"/>
        </w:rPr>
        <w:t>1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辆，占</w:t>
      </w:r>
      <w:r>
        <w:rPr>
          <w:rFonts w:hint="eastAsia" w:ascii="宋体" w:eastAsia="宋体" w:hAnsiTheme="minorEastAsia"/>
          <w:color w:val="auto"/>
          <w:sz w:val="27"/>
        </w:rPr>
        <w:t>100.00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%，出租出借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辆，占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%，闲置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辆，占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%，待处置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辆，占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本年度新增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车辆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辆，账面原值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万元；处置车辆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辆，账面原值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）在建工程情况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截至2022年12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月31日，我部门账面在建工程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万元，其中，在建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万元，占%；停建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万元，占%；建成未使用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万元,占%；已投入使用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万元，占%；（未转固年限大于6个月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万元，占%）。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本年度新增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万元，处置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资产使用效益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资产存量盘活和共享共用情况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Calibri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资产保值增值情况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截至2022年12月31日，我部门/单位固定资产成新率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为</w:t>
      </w:r>
      <w:r>
        <w:rPr>
          <w:rFonts w:hint="eastAsia" w:ascii="宋体" w:eastAsia="宋体" w:hAnsiTheme="minorEastAsia"/>
          <w:color w:val="auto"/>
          <w:sz w:val="27"/>
        </w:rPr>
        <w:t>17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%；公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共基础设施成新率为%；保障性住房成新率为%。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仿宋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资产管理工作的成效及经验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39"/>
        <w:jc w:val="left"/>
        <w:textAlignment w:val="baseline"/>
        <w:rPr>
          <w:rFonts w:hint="default" w:ascii="仿宋_GB2312" w:hAnsi="楷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  <w:lang w:eastAsia="zh-CN"/>
        </w:rPr>
        <w:t>我办就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</w:rPr>
        <w:t>资产管理工作紧紧围绕工作重点，进一步解放思想，开拓创新，以完善制度体系和技术手段为保障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</w:rPr>
        <w:t>创新行政事业单位资产的管控机制， 探索新形势下行政事业单位资产管理的新举措，不断推进行政事业资产管理改革，</w:t>
      </w:r>
      <w:r>
        <w:rPr>
          <w:rFonts w:hint="default" w:ascii="仿宋_GB2312" w:hAnsi="楷体" w:eastAsia="仿宋_GB2312" w:cs="Times New Roman"/>
          <w:color w:val="000000"/>
          <w:kern w:val="0"/>
          <w:sz w:val="32"/>
          <w:szCs w:val="32"/>
        </w:rPr>
        <w:t>取得了丰硕成果。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39"/>
        <w:jc w:val="left"/>
        <w:textAlignment w:val="baseline"/>
        <w:rPr>
          <w:rFonts w:ascii="仿宋_GB2312" w:hAnsi="楷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楷体" w:eastAsia="仿宋_GB2312" w:cs="Times New Roman"/>
          <w:b/>
          <w:bCs/>
          <w:color w:val="000000"/>
          <w:kern w:val="0"/>
          <w:sz w:val="32"/>
          <w:szCs w:val="32"/>
        </w:rPr>
        <w:t>立足规划</w:t>
      </w:r>
      <w:r>
        <w:rPr>
          <w:rFonts w:hint="eastAsia" w:ascii="仿宋_GB2312" w:hAnsi="楷体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Times New Roman"/>
          <w:b/>
          <w:bCs/>
          <w:color w:val="000000"/>
          <w:kern w:val="0"/>
          <w:sz w:val="32"/>
          <w:szCs w:val="32"/>
        </w:rPr>
        <w:t>以完善制度和技术手段为保障，推动行政事业单位资产管理改革</w:t>
      </w:r>
      <w:r>
        <w:rPr>
          <w:rFonts w:hint="eastAsia" w:ascii="仿宋_GB2312" w:hAnsi="楷体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楷体" w:eastAsia="仿宋_GB2312"/>
          <w:color w:val="000000"/>
          <w:kern w:val="0"/>
          <w:sz w:val="32"/>
          <w:szCs w:val="32"/>
        </w:rPr>
        <w:t>认真总结本部门、本地区贯彻落实《行政事业性国有资产管理条例》</w:t>
      </w:r>
      <w:r>
        <w:rPr>
          <w:rFonts w:hint="eastAsia" w:ascii="仿宋_GB2312" w:eastAsia="仿宋_GB2312"/>
          <w:color w:val="000000"/>
          <w:sz w:val="32"/>
          <w:szCs w:val="32"/>
        </w:rPr>
        <w:t>（国务院令第738号）</w:t>
      </w:r>
      <w:r>
        <w:rPr>
          <w:rFonts w:hint="eastAsia" w:ascii="仿宋_GB2312" w:hAnsi="楷体" w:eastAsia="仿宋_GB2312"/>
          <w:color w:val="000000"/>
          <w:kern w:val="0"/>
          <w:sz w:val="32"/>
          <w:szCs w:val="32"/>
        </w:rPr>
        <w:t>举措，在制度制定、基础管理、配置使用和处置全流程管理以及信息化建设等方面的情况，重点反映加强资源统筹、提高资产运行绩效、加强调剂共享情况、强化固定资产管理等方面的举措。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楷体" w:eastAsia="仿宋_GB2312" w:cs="Times New Roman"/>
          <w:b/>
          <w:bCs/>
          <w:color w:val="000000"/>
          <w:kern w:val="0"/>
          <w:sz w:val="32"/>
          <w:szCs w:val="32"/>
        </w:rPr>
        <w:t>建立健全行政事业单位资产管理制度体系</w:t>
      </w:r>
      <w:r>
        <w:rPr>
          <w:rFonts w:hint="eastAsia" w:ascii="仿宋_GB2312" w:hAnsi="楷体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</w:rPr>
        <w:t>制度建设是规范管理、提高管理水平的首要条件，是建立资产管理长效机制的重要举措。用制度把好国有资产的“入口关”、“使用关”和“出口关”，维护其安全与完整，确保国有资产不流失是制度建设的重要目标。制定《行政事业单位国有资产管理内部工作流程》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</w:rPr>
        <w:t>明确了财政部门内部在资产配置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</w:rPr>
        <w:t>使用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</w:rPr>
        <w:t>处置等方面的分工合作、操作程序和管理权限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。</w:t>
      </w:r>
      <w:r>
        <w:rPr>
          <w:rFonts w:hint="eastAsia" w:ascii="仿宋_GB2312" w:hAnsi="楷体" w:eastAsia="仿宋_GB2312"/>
          <w:color w:val="000000"/>
          <w:kern w:val="0"/>
          <w:sz w:val="32"/>
          <w:szCs w:val="32"/>
        </w:rPr>
        <w:t>在贯彻落实党中央、国务院决策部署，保障行政运转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楷体" w:eastAsia="仿宋_GB2312"/>
          <w:color w:val="000000"/>
          <w:kern w:val="0"/>
          <w:sz w:val="32"/>
          <w:szCs w:val="32"/>
        </w:rPr>
        <w:t>提供社会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公共服务以及</w:t>
      </w:r>
      <w:r>
        <w:rPr>
          <w:rFonts w:hint="eastAsia" w:ascii="仿宋_GB2312" w:hAnsi="楷体" w:eastAsia="仿宋_GB2312"/>
          <w:color w:val="000000"/>
          <w:kern w:val="0"/>
          <w:sz w:val="32"/>
          <w:szCs w:val="32"/>
        </w:rPr>
        <w:t>推进行政事业单位各项改革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等方面所发挥的</w:t>
      </w:r>
      <w:r>
        <w:rPr>
          <w:rFonts w:hint="eastAsia" w:ascii="仿宋_GB2312" w:hAnsi="楷体" w:eastAsia="仿宋_GB2312"/>
          <w:color w:val="000000"/>
          <w:kern w:val="0"/>
          <w:sz w:val="32"/>
          <w:szCs w:val="32"/>
        </w:rPr>
        <w:t>积极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作用。重点反映</w:t>
      </w:r>
      <w:r>
        <w:rPr>
          <w:rFonts w:hint="eastAsia" w:ascii="仿宋_GB2312" w:hAnsi="楷体" w:eastAsia="仿宋_GB2312"/>
          <w:color w:val="000000"/>
          <w:kern w:val="0"/>
          <w:sz w:val="32"/>
          <w:szCs w:val="32"/>
        </w:rPr>
        <w:t>教育、卫生、文化、科技等行业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资产在抗击新冠肺炎疫情、促进公共服务均等化、助力乡村振兴、提升创新能力等工作中发挥的作用。</w:t>
      </w:r>
    </w:p>
    <w:p>
      <w:pPr>
        <w:pStyle w:val="10"/>
        <w:keepNext w:val="0"/>
        <w:keepLine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/>
        <w:textAlignment w:val="auto"/>
        <w:rPr>
          <w:rFonts w:ascii="黑体" w:hAnsi="仿宋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</w:rPr>
        <w:t>（三）建立资产管理信息系统，</w:t>
      </w: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eastAsia="zh-CN"/>
        </w:rPr>
        <w:t>摸清“家底”。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实现国有资产动态监管在全面清理行政事业单位家底基础上，按照财政部资产管理信息系统建设统一部署，制定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eastAsia="zh-CN"/>
        </w:rPr>
        <w:t>专属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信息系统建设统一规划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分步实施行政事业单位资产管理信息系统建设。一方面按照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eastAsia="zh-CN"/>
        </w:rPr>
        <w:t>科学新型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工作思路，稳步推进系统的实施工作，另一方面创新工作方法和技术手段，减轻行政事业单位工作量，提高系统实施效率。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仿宋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资产管理工作存在的问题及原因分析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39"/>
        <w:jc w:val="left"/>
        <w:textAlignment w:val="baseline"/>
        <w:rPr>
          <w:rFonts w:hint="default" w:ascii="仿宋_GB2312" w:hAnsi="楷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  <w:lang w:eastAsia="zh-CN"/>
        </w:rPr>
        <w:t>我办就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</w:rPr>
        <w:t>资产管理工作紧紧围绕工作重点，进一步解放思想，开拓创新，以完善制度体系和技术手段为保障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</w:rPr>
        <w:t>创新行政事业单位资产的管控机制， 探索新形势下行政事业单位资产管理的新举措，不断推进行政事业资产管理改革，</w:t>
      </w:r>
      <w:r>
        <w:rPr>
          <w:rFonts w:hint="default" w:ascii="仿宋_GB2312" w:hAnsi="楷体" w:eastAsia="仿宋_GB2312" w:cs="Times New Roman"/>
          <w:color w:val="000000"/>
          <w:kern w:val="0"/>
          <w:sz w:val="32"/>
          <w:szCs w:val="32"/>
        </w:rPr>
        <w:t>取得了丰硕成果。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39"/>
        <w:jc w:val="left"/>
        <w:textAlignment w:val="baseline"/>
        <w:rPr>
          <w:rFonts w:ascii="仿宋_GB2312" w:hAnsi="楷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楷体" w:eastAsia="仿宋_GB2312" w:cs="Times New Roman"/>
          <w:b/>
          <w:bCs/>
          <w:color w:val="000000"/>
          <w:kern w:val="0"/>
          <w:sz w:val="32"/>
          <w:szCs w:val="32"/>
        </w:rPr>
        <w:t>立足规划</w:t>
      </w:r>
      <w:r>
        <w:rPr>
          <w:rFonts w:hint="eastAsia" w:ascii="仿宋_GB2312" w:hAnsi="楷体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Times New Roman"/>
          <w:b/>
          <w:bCs/>
          <w:color w:val="000000"/>
          <w:kern w:val="0"/>
          <w:sz w:val="32"/>
          <w:szCs w:val="32"/>
        </w:rPr>
        <w:t>以完善制度和技术手段为保障，推动行政事业单位资产管理改革</w:t>
      </w:r>
      <w:r>
        <w:rPr>
          <w:rFonts w:hint="eastAsia" w:ascii="仿宋_GB2312" w:hAnsi="楷体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楷体" w:eastAsia="仿宋_GB2312"/>
          <w:color w:val="000000"/>
          <w:kern w:val="0"/>
          <w:sz w:val="32"/>
          <w:szCs w:val="32"/>
        </w:rPr>
        <w:t>认真总结本部门、本地区贯彻落实《行政事业性国有资产管理条例》</w:t>
      </w:r>
      <w:r>
        <w:rPr>
          <w:rFonts w:hint="eastAsia" w:ascii="仿宋_GB2312" w:eastAsia="仿宋_GB2312"/>
          <w:color w:val="000000"/>
          <w:sz w:val="32"/>
          <w:szCs w:val="32"/>
        </w:rPr>
        <w:t>（国务院令第738号）</w:t>
      </w:r>
      <w:r>
        <w:rPr>
          <w:rFonts w:hint="eastAsia" w:ascii="仿宋_GB2312" w:hAnsi="楷体" w:eastAsia="仿宋_GB2312"/>
          <w:color w:val="000000"/>
          <w:kern w:val="0"/>
          <w:sz w:val="32"/>
          <w:szCs w:val="32"/>
        </w:rPr>
        <w:t>举措，在制度制定、基础管理、配置使用和处置全流程管理以及信息化建设等方面的情况，重点反映加强资源统筹、提高资产运行绩效、加强调剂共享情况、强化固定资产管理等方面的举措。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Fonts w:ascii="仿宋_GB2312" w:hAnsi="华文仿宋" w:eastAsia="仿宋_GB2312" w:cs="华文仿宋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楷体" w:eastAsia="仿宋_GB2312" w:cs="Times New Roman"/>
          <w:b/>
          <w:bCs/>
          <w:color w:val="000000"/>
          <w:kern w:val="0"/>
          <w:sz w:val="32"/>
          <w:szCs w:val="32"/>
        </w:rPr>
        <w:t>建立健全行政事业单位资产管理制度体系</w:t>
      </w:r>
      <w:r>
        <w:rPr>
          <w:rFonts w:hint="eastAsia" w:ascii="仿宋_GB2312" w:hAnsi="楷体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</w:rPr>
        <w:t>制度建设是规范管理、提高管理水平的首要条件，是建立资产管理长效机制的重要举措。用制度把好国有资产的“入口关”、“使用关”和“出口关”，维护其安全与完整，确保国有资产不流失是制度建设的重要目标。制定《行政事业单位国有资产管理内部工作流程》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</w:rPr>
        <w:t>明确了财政部门内部在资产配置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</w:rPr>
        <w:t>使用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 w:cs="Times New Roman"/>
          <w:color w:val="000000"/>
          <w:kern w:val="0"/>
          <w:sz w:val="32"/>
          <w:szCs w:val="32"/>
        </w:rPr>
        <w:t>处置等方面的分工合作、操作程序和管理权限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。</w:t>
      </w:r>
      <w:r>
        <w:rPr>
          <w:rFonts w:hint="eastAsia" w:ascii="仿宋_GB2312" w:hAnsi="楷体" w:eastAsia="仿宋_GB2312"/>
          <w:color w:val="000000"/>
          <w:kern w:val="0"/>
          <w:sz w:val="32"/>
          <w:szCs w:val="32"/>
        </w:rPr>
        <w:t>在贯彻落实党中央、国务院决策部署，保障行政运转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楷体" w:eastAsia="仿宋_GB2312"/>
          <w:color w:val="000000"/>
          <w:kern w:val="0"/>
          <w:sz w:val="32"/>
          <w:szCs w:val="32"/>
        </w:rPr>
        <w:t>提供社会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公共服务以及</w:t>
      </w:r>
      <w:r>
        <w:rPr>
          <w:rFonts w:hint="eastAsia" w:ascii="仿宋_GB2312" w:hAnsi="楷体" w:eastAsia="仿宋_GB2312"/>
          <w:color w:val="000000"/>
          <w:kern w:val="0"/>
          <w:sz w:val="32"/>
          <w:szCs w:val="32"/>
        </w:rPr>
        <w:t>推进行政事业单位各项改革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等方面所发挥的</w:t>
      </w:r>
      <w:r>
        <w:rPr>
          <w:rFonts w:hint="eastAsia" w:ascii="仿宋_GB2312" w:hAnsi="楷体" w:eastAsia="仿宋_GB2312"/>
          <w:color w:val="000000"/>
          <w:kern w:val="0"/>
          <w:sz w:val="32"/>
          <w:szCs w:val="32"/>
        </w:rPr>
        <w:t>积极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作用。重点反映</w:t>
      </w:r>
      <w:r>
        <w:rPr>
          <w:rFonts w:hint="eastAsia" w:ascii="仿宋_GB2312" w:hAnsi="楷体" w:eastAsia="仿宋_GB2312"/>
          <w:color w:val="000000"/>
          <w:kern w:val="0"/>
          <w:sz w:val="32"/>
          <w:szCs w:val="32"/>
        </w:rPr>
        <w:t>教育、卫生、文化、科技等行业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资产在抗击新冠肺炎疫情、促进公共服务均等化、助力乡村振兴、提升创新能力等工作中发挥的作用。</w:t>
      </w:r>
    </w:p>
    <w:p>
      <w:pPr>
        <w:pStyle w:val="10"/>
        <w:keepNext w:val="0"/>
        <w:keepLine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/>
        <w:textAlignment w:val="auto"/>
        <w:rPr>
          <w:rFonts w:ascii="黑体" w:hAnsi="仿宋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</w:rPr>
        <w:t>（三）建立资产管理信息系统，</w:t>
      </w:r>
      <w:r>
        <w:rPr>
          <w:rFonts w:hint="eastAsia" w:ascii="仿宋_GB2312" w:hAnsi="华文仿宋" w:eastAsia="仿宋_GB2312" w:cs="华文仿宋"/>
          <w:b/>
          <w:bCs/>
          <w:color w:val="000000"/>
          <w:kern w:val="0"/>
          <w:sz w:val="32"/>
          <w:szCs w:val="32"/>
          <w:lang w:eastAsia="zh-CN"/>
        </w:rPr>
        <w:t>摸清“家底”。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实现国有资产动态监管在全面清理行政事业单位家底基础上，按照财政部资产管理信息系统建设统一部署，制定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eastAsia="zh-CN"/>
        </w:rPr>
        <w:t>专属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信息系统建设统一规划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分步实施行政事业单位资产管理信息系统建设。一方面按照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  <w:lang w:eastAsia="zh-CN"/>
        </w:rPr>
        <w:t>科学新型</w:t>
      </w:r>
      <w:r>
        <w:rPr>
          <w:rFonts w:hint="eastAsia" w:ascii="仿宋_GB2312" w:hAnsi="华文仿宋" w:eastAsia="仿宋_GB2312" w:cs="华文仿宋"/>
          <w:color w:val="000000"/>
          <w:kern w:val="0"/>
          <w:sz w:val="32"/>
          <w:szCs w:val="32"/>
        </w:rPr>
        <w:t>工作思路，稳步推进系统的实施工作，另一方面创新工作方法和技术手段，减轻行政事业单位工作量，提高系统实施效率。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仿宋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对管理中存在问题的整改措施</w:t>
      </w:r>
    </w:p>
    <w:p>
      <w:pPr>
        <w:spacing w:line="360" w:lineRule="auto"/>
        <w:ind w:firstLine="640" w:firstLineChars="200"/>
        <w:rPr>
          <w:rFonts w:hint="eastAsia" w:ascii="黑体" w:hAnsi="仿宋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仿宋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加强资产管理工作的建议</w:t>
      </w:r>
    </w:p>
    <w:p>
      <w:pPr>
        <w:spacing w:line="360" w:lineRule="auto"/>
        <w:ind w:firstLine="640" w:firstLineChars="200"/>
        <w:rPr>
          <w:rFonts w:hint="eastAsia" w:ascii="黑体" w:hAnsi="仿宋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91A7C"/>
    <w:multiLevelType w:val="multilevel"/>
    <w:tmpl w:val="30E91A7C"/>
    <w:lvl w:ilvl="0" w:tentative="0">
      <w:start w:val="1"/>
      <w:numFmt w:val="japaneseCounting"/>
      <w:lvlText w:val="%1、"/>
      <w:lvlJc w:val="left"/>
      <w:pPr>
        <w:ind w:left="1288" w:hanging="720"/>
      </w:pPr>
      <w:rPr>
        <w:rFonts w:hint="eastAsia" w:ascii="黑体" w:hAnsi="Calibri" w:eastAsia="黑体"/>
        <w:color w:val="auto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hM2NmY2ZkN2EwYzg2MTc4Y2U3ZTE3MTVhMDA1OTMifQ=="/>
  </w:docVars>
  <w:rsids>
    <w:rsidRoot w:val="00FD6610"/>
    <w:rsid w:val="00301FD9"/>
    <w:rsid w:val="005D3A03"/>
    <w:rsid w:val="009C542F"/>
    <w:rsid w:val="00B62A8E"/>
    <w:rsid w:val="00F26BB8"/>
    <w:rsid w:val="00FD6610"/>
    <w:rsid w:val="00FE4507"/>
    <w:rsid w:val="00FE6F59"/>
    <w:rsid w:val="0FB107F0"/>
    <w:rsid w:val="110852F3"/>
    <w:rsid w:val="131072E2"/>
    <w:rsid w:val="1D64250D"/>
    <w:rsid w:val="2B6F202A"/>
    <w:rsid w:val="2D895431"/>
    <w:rsid w:val="2E247A0F"/>
    <w:rsid w:val="447508CF"/>
    <w:rsid w:val="5A03039F"/>
    <w:rsid w:val="5E5733CE"/>
    <w:rsid w:val="7B0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2629</Words>
  <Characters>10271</Characters>
  <Lines>35</Lines>
  <Paragraphs>9</Paragraphs>
  <TotalTime>1</TotalTime>
  <ScaleCrop>false</ScaleCrop>
  <LinksUpToDate>false</LinksUpToDate>
  <CharactersWithSpaces>10272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2023-02-09T08:09:00Z</dcterms:created>
  <dc:creator>李 海云</dc:creator>
  <cp:lastModifiedBy>Administrator</cp:lastModifiedBy>
  <dcterms:modified xsi:type="dcterms:W3CDTF">2023-03-10T08:07:25Z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16C477D6F1E64D869DAF9DBAE0D20E25</vt:lpwstr>
  </property>
</Properties>
</file>