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奈曼旗2021年农产品产地冷藏保鲜设施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建设项目补助情况说明</w:t>
      </w:r>
    </w:p>
    <w:p>
      <w:pPr>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outlineLvl w:val="0"/>
        <w:rPr>
          <w:rFonts w:hint="eastAsia" w:ascii="黑体" w:hAnsi="黑体" w:eastAsia="黑体" w:cs="黑体"/>
          <w:b w:val="0"/>
          <w:bCs w:val="0"/>
          <w:color w:val="000000"/>
          <w:sz w:val="32"/>
          <w:szCs w:val="32"/>
          <w:lang w:val="en-US" w:eastAsia="zh-CN"/>
        </w:rPr>
      </w:pPr>
      <w:bookmarkStart w:id="0" w:name="_Toc16514"/>
      <w:bookmarkStart w:id="1" w:name="_Toc8493"/>
      <w:bookmarkStart w:id="2" w:name="_Toc29332"/>
      <w:bookmarkStart w:id="3" w:name="_Toc1237"/>
      <w:bookmarkStart w:id="4" w:name="_Toc4534295"/>
      <w:bookmarkStart w:id="5" w:name="_Toc514874527"/>
      <w:bookmarkStart w:id="6" w:name="_Toc7174_WPSOffice_Level1"/>
      <w:r>
        <w:rPr>
          <w:rFonts w:hint="eastAsia" w:ascii="黑体" w:hAnsi="黑体" w:eastAsia="黑体" w:cs="黑体"/>
          <w:b w:val="0"/>
          <w:bCs w:val="0"/>
          <w:color w:val="000000"/>
          <w:sz w:val="32"/>
          <w:szCs w:val="32"/>
          <w:lang w:val="en-US" w:eastAsia="zh-CN"/>
        </w:rPr>
        <w:t>一、补贴对象</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奈曼旗2021年农产品产地冷藏保鲜设施建设实施主体2家,包括</w:t>
      </w:r>
      <w:r>
        <w:rPr>
          <w:rFonts w:hint="eastAsia" w:ascii="仿宋" w:hAnsi="仿宋" w:eastAsia="仿宋" w:cs="仿宋"/>
          <w:color w:val="000000"/>
          <w:kern w:val="0"/>
          <w:sz w:val="32"/>
          <w:szCs w:val="32"/>
          <w:lang w:val="en-US" w:eastAsia="zh-CN" w:bidi="ar"/>
        </w:rPr>
        <w:t>奈曼旗凯宏种养殖专业合作社实施项目为</w:t>
      </w:r>
      <w:r>
        <w:rPr>
          <w:rFonts w:hint="eastAsia" w:ascii="仿宋" w:hAnsi="仿宋" w:eastAsia="仿宋" w:cs="仿宋"/>
          <w:b w:val="0"/>
          <w:bCs w:val="0"/>
          <w:kern w:val="2"/>
          <w:sz w:val="32"/>
          <w:szCs w:val="32"/>
          <w:lang w:val="en-US" w:eastAsia="zh-CN" w:bidi="ar-SA"/>
        </w:rPr>
        <w:t>500吨机械冷藏库建设项目、奈曼旗兴华种植专业合作社</w:t>
      </w:r>
      <w:r>
        <w:rPr>
          <w:rFonts w:hint="eastAsia" w:ascii="仿宋" w:hAnsi="仿宋" w:eastAsia="仿宋" w:cs="仿宋"/>
          <w:color w:val="000000"/>
          <w:kern w:val="0"/>
          <w:sz w:val="32"/>
          <w:szCs w:val="32"/>
          <w:lang w:val="en-US" w:eastAsia="zh-CN" w:bidi="ar"/>
        </w:rPr>
        <w:t>实施项目为</w:t>
      </w:r>
      <w:r>
        <w:rPr>
          <w:rFonts w:hint="eastAsia" w:ascii="仿宋" w:hAnsi="仿宋" w:eastAsia="仿宋" w:cs="仿宋"/>
          <w:b w:val="0"/>
          <w:bCs w:val="0"/>
          <w:kern w:val="2"/>
          <w:sz w:val="32"/>
          <w:szCs w:val="32"/>
          <w:lang w:val="en-US" w:eastAsia="zh-CN" w:bidi="ar-SA"/>
        </w:rPr>
        <w:t>260吨水果机械冷藏库建设项目。</w:t>
      </w:r>
    </w:p>
    <w:bookmarkEnd w:id="4"/>
    <w:bookmarkEnd w:id="5"/>
    <w:bookmarkEnd w:id="6"/>
    <w:p>
      <w:pPr>
        <w:pStyle w:val="3"/>
        <w:keepNext/>
        <w:keepLines/>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textAlignment w:val="auto"/>
        <w:outlineLvl w:val="0"/>
        <w:rPr>
          <w:rFonts w:hint="eastAsia" w:ascii="黑体" w:hAnsi="黑体" w:eastAsia="黑体" w:cs="黑体"/>
          <w:b w:val="0"/>
          <w:bCs w:val="0"/>
          <w:kern w:val="2"/>
          <w:sz w:val="32"/>
          <w:szCs w:val="24"/>
          <w:lang w:val="en-US" w:eastAsia="zh-CN" w:bidi="ar-SA"/>
        </w:rPr>
      </w:pPr>
      <w:bookmarkStart w:id="7" w:name="_Toc10370"/>
      <w:bookmarkStart w:id="8" w:name="_Toc25884"/>
      <w:bookmarkStart w:id="9" w:name="_Toc17289"/>
      <w:bookmarkStart w:id="10" w:name="_Toc2967"/>
      <w:bookmarkStart w:id="11" w:name="_Toc29542"/>
      <w:r>
        <w:rPr>
          <w:rFonts w:hint="eastAsia" w:ascii="黑体" w:hAnsi="黑体" w:eastAsia="黑体" w:cs="黑体"/>
          <w:b w:val="0"/>
          <w:bCs w:val="0"/>
          <w:kern w:val="2"/>
          <w:sz w:val="32"/>
          <w:szCs w:val="24"/>
          <w:lang w:val="en-US" w:eastAsia="zh-CN" w:bidi="ar-SA"/>
        </w:rPr>
        <w:t>验收结果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项目方案，经奈曼旗农牧和科技局和奈曼旗财政局组织验收组实地查看机械冷藏库建设及设备运行情况，认为项目建设单位按照方案要求建设，程序规范。确认项目建设单位全部完成项目建设内容，项目实施与项目方案相符，同意通过项目验收。</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outlineLvl w:val="0"/>
        <w:rPr>
          <w:rFonts w:hint="eastAsia" w:ascii="仿宋_GB2312" w:hAnsi="仿宋_GB2312" w:eastAsia="仿宋_GB2312" w:cs="仿宋_GB2312"/>
          <w:b w:val="0"/>
          <w:bCs w:val="0"/>
          <w:kern w:val="2"/>
          <w:sz w:val="32"/>
          <w:szCs w:val="32"/>
          <w:lang w:val="en-US" w:eastAsia="zh-CN" w:bidi="ar-SA"/>
        </w:rPr>
      </w:pPr>
      <w:bookmarkStart w:id="12" w:name="_Toc16464"/>
      <w:r>
        <w:rPr>
          <w:rFonts w:hint="eastAsia" w:ascii="黑体" w:hAnsi="黑体" w:eastAsia="黑体" w:cs="黑体"/>
          <w:b w:val="0"/>
          <w:bCs w:val="0"/>
          <w:kern w:val="2"/>
          <w:sz w:val="32"/>
          <w:szCs w:val="24"/>
          <w:lang w:val="en-US" w:eastAsia="zh-CN" w:bidi="ar-SA"/>
        </w:rPr>
        <w:t>三、</w:t>
      </w:r>
      <w:bookmarkEnd w:id="7"/>
      <w:bookmarkEnd w:id="8"/>
      <w:bookmarkEnd w:id="9"/>
      <w:bookmarkEnd w:id="10"/>
      <w:bookmarkEnd w:id="11"/>
      <w:bookmarkEnd w:id="12"/>
      <w:r>
        <w:rPr>
          <w:rFonts w:hint="eastAsia" w:ascii="黑体" w:hAnsi="黑体" w:eastAsia="黑体" w:cs="黑体"/>
          <w:b w:val="0"/>
          <w:bCs w:val="0"/>
          <w:kern w:val="2"/>
          <w:sz w:val="32"/>
          <w:szCs w:val="24"/>
          <w:lang w:val="en-US" w:eastAsia="zh-CN" w:bidi="ar-SA"/>
        </w:rPr>
        <w:t>资金拨付</w:t>
      </w:r>
      <w:bookmarkStart w:id="13" w:name="_Toc16502"/>
      <w:bookmarkStart w:id="14" w:name="_Toc23635"/>
      <w:bookmarkStart w:id="15" w:name="_Toc24553"/>
      <w:bookmarkStart w:id="16" w:name="_Toc16717"/>
      <w:bookmarkStart w:id="17" w:name="_Toc24485"/>
      <w:bookmarkStart w:id="18" w:name="_Toc26458"/>
      <w:bookmarkStart w:id="19" w:name="_Toc12258"/>
      <w:bookmarkStart w:id="20" w:name="_Toc8954"/>
      <w:bookmarkStart w:id="21" w:name="_Toc18970"/>
      <w:bookmarkStart w:id="22" w:name="_Toc25293"/>
      <w:bookmarkStart w:id="23" w:name="_Toc23728"/>
      <w:bookmarkStart w:id="24" w:name="_Toc16808"/>
      <w:bookmarkStart w:id="25" w:name="_Toc17651"/>
    </w:p>
    <w:bookmarkEnd w:id="13"/>
    <w:bookmarkEnd w:id="14"/>
    <w:bookmarkEnd w:id="15"/>
    <w:bookmarkEnd w:id="1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bookmarkStart w:id="26" w:name="_Toc20822"/>
      <w:bookmarkStart w:id="27" w:name="_Toc1301"/>
      <w:bookmarkStart w:id="28" w:name="_Toc15461"/>
      <w:bookmarkStart w:id="29" w:name="_Toc30455"/>
      <w:bookmarkStart w:id="30" w:name="_Toc24862"/>
      <w:bookmarkStart w:id="31" w:name="_Toc1407"/>
      <w:r>
        <w:rPr>
          <w:rFonts w:hint="eastAsia" w:ascii="仿宋" w:hAnsi="仿宋" w:eastAsia="仿宋" w:cs="仿宋"/>
          <w:b w:val="0"/>
          <w:bCs w:val="0"/>
          <w:kern w:val="2"/>
          <w:sz w:val="32"/>
          <w:szCs w:val="32"/>
          <w:lang w:val="en-US" w:eastAsia="zh-CN" w:bidi="ar-SA"/>
        </w:rPr>
        <w:t>上述2个项目投资总额为175.31万元，其中申请中央财政补贴资金60万元、合作社自筹115.31万元。</w:t>
      </w:r>
      <w:bookmarkEnd w:id="26"/>
      <w:bookmarkEnd w:id="27"/>
      <w:bookmarkEnd w:id="28"/>
      <w:bookmarkEnd w:id="29"/>
      <w:bookmarkEnd w:id="30"/>
      <w:bookmarkEnd w:id="31"/>
      <w:r>
        <w:rPr>
          <w:rFonts w:hint="eastAsia" w:ascii="仿宋" w:hAnsi="仿宋" w:eastAsia="仿宋" w:cs="仿宋"/>
          <w:b w:val="0"/>
          <w:bCs w:val="0"/>
          <w:kern w:val="2"/>
          <w:sz w:val="32"/>
          <w:szCs w:val="32"/>
          <w:lang w:val="en-US" w:eastAsia="zh-CN" w:bidi="ar-SA"/>
        </w:rPr>
        <w:t>项目验收完，资金待拨付。</w:t>
      </w:r>
      <w:bookmarkEnd w:id="17"/>
      <w:bookmarkEnd w:id="18"/>
      <w:bookmarkEnd w:id="19"/>
      <w:bookmarkEnd w:id="20"/>
      <w:bookmarkEnd w:id="21"/>
      <w:bookmarkEnd w:id="22"/>
      <w:bookmarkEnd w:id="23"/>
      <w:bookmarkEnd w:id="24"/>
      <w:bookmarkEnd w:id="25"/>
      <w:bookmarkStart w:id="32" w:name="_Toc13318"/>
      <w:bookmarkStart w:id="33" w:name="_Toc3169"/>
      <w:bookmarkStart w:id="34" w:name="_Toc23783"/>
      <w:bookmarkStart w:id="35" w:name="_Toc7263"/>
    </w:p>
    <w:p>
      <w:pPr>
        <w:pStyle w:val="2"/>
        <w:spacing w:before="0" w:after="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20" w:lineRule="exact"/>
        <w:ind w:firstLine="4160" w:firstLineChars="1300"/>
        <w:jc w:val="both"/>
        <w:textAlignment w:val="auto"/>
        <w:rPr>
          <w:rFonts w:hint="default" w:ascii="仿宋" w:hAnsi="仿宋" w:eastAsia="仿宋" w:cs="仿宋"/>
          <w:b w:val="0"/>
          <w:bCs w:val="0"/>
          <w:kern w:val="2"/>
          <w:sz w:val="32"/>
          <w:szCs w:val="32"/>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b w:val="0"/>
          <w:bCs w:val="0"/>
          <w:kern w:val="2"/>
          <w:sz w:val="32"/>
          <w:szCs w:val="32"/>
          <w:lang w:val="en-US" w:eastAsia="zh-CN" w:bidi="ar-SA"/>
        </w:rPr>
        <w:t xml:space="preserve">               </w:t>
      </w:r>
      <w:bookmarkStart w:id="45" w:name="_GoBack"/>
      <w:bookmarkEnd w:id="45"/>
    </w:p>
    <w:p>
      <w:pPr>
        <w:pageBreakBefore w:val="0"/>
        <w:kinsoku/>
        <w:wordWrap/>
        <w:overflowPunct/>
        <w:topLinePunct w:val="0"/>
        <w:autoSpaceDE/>
        <w:autoSpaceDN/>
        <w:bidi w:val="0"/>
        <w:adjustRightInd/>
        <w:snapToGrid/>
        <w:spacing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bookmarkStart w:id="36" w:name="_Toc18629_WPSOffice_Level1"/>
      <w:bookmarkStart w:id="37" w:name="_Toc28071_WPSOffice_Level1"/>
      <w:bookmarkStart w:id="38" w:name="_Toc16151_WPSOffice_Level1"/>
      <w:bookmarkStart w:id="39" w:name="_Toc4478"/>
      <w:bookmarkStart w:id="40" w:name="_Toc19795"/>
      <w:bookmarkStart w:id="41" w:name="_Toc30172_WPSOffice_Level1"/>
      <w:bookmarkStart w:id="42" w:name="_Toc28442_WPSOffice_Level1"/>
      <w:bookmarkStart w:id="43" w:name="_Toc2942_WPSOffice_Level1"/>
      <w:bookmarkStart w:id="44" w:name="_Toc22800_WPSOffice_Level1"/>
      <w:r>
        <w:rPr>
          <w:rFonts w:hint="eastAsia" w:ascii="方正小标宋简体" w:hAnsi="方正小标宋简体" w:eastAsia="方正小标宋简体" w:cs="方正小标宋简体"/>
          <w:b w:val="0"/>
          <w:bCs w:val="0"/>
          <w:sz w:val="44"/>
          <w:szCs w:val="44"/>
          <w:lang w:val="en-US" w:eastAsia="zh-CN"/>
        </w:rPr>
        <w:t>奈曼旗2021年农产品产地冷藏保鲜设施建设汇总表</w:t>
      </w:r>
      <w:bookmarkEnd w:id="36"/>
      <w:bookmarkEnd w:id="37"/>
      <w:bookmarkEnd w:id="38"/>
      <w:bookmarkEnd w:id="39"/>
      <w:bookmarkEnd w:id="40"/>
      <w:bookmarkEnd w:id="41"/>
      <w:bookmarkEnd w:id="42"/>
      <w:bookmarkEnd w:id="43"/>
      <w:bookmarkEnd w:id="44"/>
    </w:p>
    <w:tbl>
      <w:tblPr>
        <w:tblStyle w:val="10"/>
        <w:tblpPr w:leftFromText="180" w:rightFromText="180" w:vertAnchor="text" w:horzAnchor="page" w:tblpXSpec="center" w:tblpY="1"/>
        <w:tblOverlap w:val="never"/>
        <w:tblW w:w="14410" w:type="dxa"/>
        <w:jc w:val="center"/>
        <w:tblLayout w:type="fixed"/>
        <w:tblCellMar>
          <w:top w:w="15" w:type="dxa"/>
          <w:left w:w="15" w:type="dxa"/>
          <w:bottom w:w="15" w:type="dxa"/>
          <w:right w:w="15" w:type="dxa"/>
        </w:tblCellMar>
      </w:tblPr>
      <w:tblGrid>
        <w:gridCol w:w="573"/>
        <w:gridCol w:w="1666"/>
        <w:gridCol w:w="1524"/>
        <w:gridCol w:w="876"/>
        <w:gridCol w:w="1080"/>
        <w:gridCol w:w="3624"/>
        <w:gridCol w:w="1609"/>
        <w:gridCol w:w="900"/>
        <w:gridCol w:w="669"/>
        <w:gridCol w:w="674"/>
        <w:gridCol w:w="609"/>
        <w:gridCol w:w="606"/>
      </w:tblGrid>
      <w:tr>
        <w:tblPrEx>
          <w:tblCellMar>
            <w:top w:w="15" w:type="dxa"/>
            <w:left w:w="15" w:type="dxa"/>
            <w:bottom w:w="15" w:type="dxa"/>
            <w:right w:w="15" w:type="dxa"/>
          </w:tblCellMar>
        </w:tblPrEx>
        <w:trPr>
          <w:trHeight w:val="700" w:hRule="atLeast"/>
          <w:jc w:val="center"/>
        </w:trPr>
        <w:tc>
          <w:tcPr>
            <w:tcW w:w="57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eastAsia="zh-CN" w:bidi="ar"/>
              </w:rPr>
              <w:t>序号</w:t>
            </w:r>
          </w:p>
        </w:tc>
        <w:tc>
          <w:tcPr>
            <w:tcW w:w="16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bidi="ar"/>
              </w:rPr>
              <w:t>项目名称</w:t>
            </w:r>
          </w:p>
        </w:tc>
        <w:tc>
          <w:tcPr>
            <w:tcW w:w="152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建设单位</w:t>
            </w:r>
          </w:p>
        </w:tc>
        <w:tc>
          <w:tcPr>
            <w:tcW w:w="87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建设性质</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sz w:val="20"/>
                <w:szCs w:val="20"/>
                <w:lang w:eastAsia="zh-CN"/>
              </w:rPr>
            </w:pPr>
            <w:r>
              <w:rPr>
                <w:rFonts w:hint="eastAsia" w:asciiTheme="majorEastAsia" w:hAnsiTheme="majorEastAsia" w:eastAsiaTheme="majorEastAsia" w:cstheme="majorEastAsia"/>
                <w:b/>
                <w:color w:val="000000"/>
                <w:sz w:val="20"/>
                <w:szCs w:val="20"/>
                <w:lang w:eastAsia="zh-CN"/>
              </w:rPr>
              <w:t>建设规模</w:t>
            </w:r>
          </w:p>
        </w:tc>
        <w:tc>
          <w:tcPr>
            <w:tcW w:w="36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sz w:val="20"/>
                <w:szCs w:val="20"/>
                <w:lang w:eastAsia="zh-CN"/>
              </w:rPr>
            </w:pPr>
            <w:r>
              <w:rPr>
                <w:rFonts w:hint="eastAsia" w:asciiTheme="majorEastAsia" w:hAnsiTheme="majorEastAsia" w:eastAsiaTheme="majorEastAsia" w:cstheme="majorEastAsia"/>
                <w:b/>
                <w:color w:val="000000"/>
                <w:sz w:val="20"/>
                <w:szCs w:val="20"/>
                <w:lang w:eastAsia="zh-CN"/>
              </w:rPr>
              <w:t>建设内容</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sz w:val="20"/>
                <w:szCs w:val="20"/>
                <w:lang w:eastAsia="zh-CN"/>
              </w:rPr>
            </w:pPr>
            <w:r>
              <w:rPr>
                <w:rFonts w:hint="eastAsia" w:asciiTheme="majorEastAsia" w:hAnsiTheme="majorEastAsia" w:eastAsiaTheme="majorEastAsia" w:cstheme="majorEastAsia"/>
                <w:b/>
                <w:color w:val="000000"/>
                <w:kern w:val="0"/>
                <w:sz w:val="20"/>
                <w:szCs w:val="20"/>
                <w:lang w:eastAsia="zh-CN" w:bidi="ar"/>
              </w:rPr>
              <w:t>建设地点</w:t>
            </w:r>
          </w:p>
        </w:tc>
        <w:tc>
          <w:tcPr>
            <w:tcW w:w="90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bidi="ar"/>
              </w:rPr>
              <w:t>总投资</w:t>
            </w:r>
            <w:r>
              <w:rPr>
                <w:rFonts w:hint="eastAsia" w:asciiTheme="majorEastAsia" w:hAnsiTheme="majorEastAsia" w:eastAsiaTheme="majorEastAsia" w:cstheme="majorEastAsia"/>
                <w:b/>
                <w:color w:val="000000"/>
                <w:kern w:val="0"/>
                <w:sz w:val="20"/>
                <w:szCs w:val="20"/>
                <w:lang w:eastAsia="zh-CN" w:bidi="ar"/>
              </w:rPr>
              <w:t>（万元）</w:t>
            </w:r>
          </w:p>
        </w:tc>
        <w:tc>
          <w:tcPr>
            <w:tcW w:w="19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资金筹措（万元）</w:t>
            </w:r>
          </w:p>
        </w:tc>
        <w:tc>
          <w:tcPr>
            <w:tcW w:w="6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计划贷款</w:t>
            </w:r>
          </w:p>
        </w:tc>
      </w:tr>
      <w:tr>
        <w:tblPrEx>
          <w:tblCellMar>
            <w:top w:w="15" w:type="dxa"/>
            <w:left w:w="15" w:type="dxa"/>
            <w:bottom w:w="15" w:type="dxa"/>
            <w:right w:w="15" w:type="dxa"/>
          </w:tblCellMar>
        </w:tblPrEx>
        <w:trPr>
          <w:trHeight w:val="1030" w:hRule="atLeast"/>
          <w:jc w:val="center"/>
        </w:trPr>
        <w:tc>
          <w:tcPr>
            <w:tcW w:w="573"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1666"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1524"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876"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362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900" w:type="dxa"/>
            <w:vMerge w:val="continue"/>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color w:val="000000"/>
                <w:kern w:val="0"/>
                <w:sz w:val="20"/>
                <w:szCs w:val="20"/>
                <w:lang w:bidi="ar"/>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中央</w:t>
            </w:r>
            <w:r>
              <w:rPr>
                <w:rFonts w:hint="eastAsia" w:asciiTheme="majorEastAsia" w:hAnsiTheme="majorEastAsia" w:eastAsiaTheme="majorEastAsia" w:cstheme="majorEastAsia"/>
                <w:b/>
                <w:color w:val="000000"/>
                <w:kern w:val="0"/>
                <w:sz w:val="20"/>
                <w:szCs w:val="20"/>
                <w:lang w:val="en-US" w:eastAsia="zh-CN" w:bidi="ar"/>
              </w:rPr>
              <w:t xml:space="preserve"> </w:t>
            </w:r>
            <w:r>
              <w:rPr>
                <w:rFonts w:hint="eastAsia" w:asciiTheme="majorEastAsia" w:hAnsiTheme="majorEastAsia" w:eastAsiaTheme="majorEastAsia" w:cstheme="majorEastAsia"/>
                <w:b/>
                <w:color w:val="000000"/>
                <w:kern w:val="0"/>
                <w:sz w:val="20"/>
                <w:szCs w:val="20"/>
                <w:lang w:eastAsia="zh-CN" w:bidi="ar"/>
              </w:rPr>
              <w:t>资金</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地方</w:t>
            </w:r>
            <w:r>
              <w:rPr>
                <w:rFonts w:hint="eastAsia" w:asciiTheme="majorEastAsia" w:hAnsiTheme="majorEastAsia" w:eastAsiaTheme="majorEastAsia" w:cstheme="majorEastAsia"/>
                <w:b/>
                <w:color w:val="000000"/>
                <w:kern w:val="0"/>
                <w:sz w:val="20"/>
                <w:szCs w:val="20"/>
                <w:lang w:val="en-US" w:eastAsia="zh-CN" w:bidi="ar"/>
              </w:rPr>
              <w:t xml:space="preserve"> </w:t>
            </w:r>
            <w:r>
              <w:rPr>
                <w:rFonts w:hint="eastAsia" w:asciiTheme="majorEastAsia" w:hAnsiTheme="majorEastAsia" w:eastAsiaTheme="majorEastAsia" w:cstheme="majorEastAsia"/>
                <w:b/>
                <w:color w:val="000000"/>
                <w:kern w:val="0"/>
                <w:sz w:val="20"/>
                <w:szCs w:val="20"/>
                <w:lang w:eastAsia="zh-CN" w:bidi="ar"/>
              </w:rPr>
              <w:t>配套</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自有资金</w:t>
            </w:r>
          </w:p>
        </w:tc>
        <w:tc>
          <w:tcPr>
            <w:tcW w:w="606" w:type="dxa"/>
            <w:vMerge w:val="continue"/>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p>
        </w:tc>
      </w:tr>
      <w:tr>
        <w:tblPrEx>
          <w:tblCellMar>
            <w:top w:w="15" w:type="dxa"/>
            <w:left w:w="15" w:type="dxa"/>
            <w:bottom w:w="15" w:type="dxa"/>
            <w:right w:w="15" w:type="dxa"/>
          </w:tblCellMar>
        </w:tblPrEx>
        <w:trPr>
          <w:trHeight w:val="1311"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500吨机械冷藏库 建设项目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奈曼旗凯宏种养殖专业合作社</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扩建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冷藏500吨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蔬菜</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新建700平方米机械冷藏库（长45米、</w:t>
            </w:r>
            <w:r>
              <w:rPr>
                <w:rFonts w:hint="default" w:asciiTheme="minorEastAsia" w:hAnsiTheme="minorEastAsia" w:eastAsiaTheme="minorEastAsia" w:cstheme="minorEastAsia"/>
                <w:color w:val="000000"/>
                <w:kern w:val="0"/>
                <w:sz w:val="18"/>
                <w:szCs w:val="18"/>
                <w:lang w:val="en-US" w:eastAsia="zh-CN" w:bidi="ar"/>
              </w:rPr>
              <w:t>宽</w:t>
            </w:r>
            <w:r>
              <w:rPr>
                <w:rFonts w:hint="eastAsia" w:asciiTheme="minorEastAsia" w:hAnsiTheme="minorEastAsia" w:eastAsiaTheme="minorEastAsia" w:cstheme="minorEastAsia"/>
                <w:color w:val="000000"/>
                <w:kern w:val="0"/>
                <w:sz w:val="18"/>
                <w:szCs w:val="18"/>
                <w:lang w:val="en-US" w:eastAsia="zh-CN" w:bidi="ar"/>
              </w:rPr>
              <w:t>15.55</w:t>
            </w:r>
            <w:r>
              <w:rPr>
                <w:rFonts w:hint="default" w:asciiTheme="minorEastAsia" w:hAnsiTheme="minorEastAsia" w:eastAsiaTheme="minorEastAsia" w:cstheme="minorEastAsia"/>
                <w:color w:val="000000"/>
                <w:kern w:val="0"/>
                <w:sz w:val="18"/>
                <w:szCs w:val="18"/>
                <w:lang w:val="en-US" w:eastAsia="zh-CN" w:bidi="ar"/>
              </w:rPr>
              <w:t>米</w:t>
            </w:r>
            <w:r>
              <w:rPr>
                <w:rFonts w:hint="eastAsia" w:asciiTheme="minorEastAsia" w:hAnsiTheme="minorEastAsia" w:eastAsiaTheme="minorEastAsia" w:cstheme="minorEastAsia"/>
                <w:color w:val="000000"/>
                <w:kern w:val="0"/>
                <w:sz w:val="18"/>
                <w:szCs w:val="18"/>
                <w:lang w:val="en-US" w:eastAsia="zh-CN" w:bidi="ar"/>
              </w:rPr>
              <w:t>、</w:t>
            </w:r>
            <w:r>
              <w:rPr>
                <w:rFonts w:hint="default" w:asciiTheme="minorEastAsia" w:hAnsiTheme="minorEastAsia" w:eastAsiaTheme="minorEastAsia" w:cstheme="minorEastAsia"/>
                <w:color w:val="000000"/>
                <w:kern w:val="0"/>
                <w:sz w:val="18"/>
                <w:szCs w:val="18"/>
                <w:lang w:val="en-US" w:eastAsia="zh-CN" w:bidi="ar"/>
              </w:rPr>
              <w:t>高</w:t>
            </w:r>
            <w:r>
              <w:rPr>
                <w:rFonts w:hint="eastAsia" w:asciiTheme="minorEastAsia" w:hAnsiTheme="minorEastAsia" w:eastAsiaTheme="minorEastAsia" w:cstheme="minorEastAsia"/>
                <w:color w:val="000000"/>
                <w:kern w:val="0"/>
                <w:sz w:val="18"/>
                <w:szCs w:val="18"/>
                <w:lang w:val="en-US" w:eastAsia="zh-CN" w:bidi="ar"/>
              </w:rPr>
              <w:t>3.86</w:t>
            </w:r>
            <w:r>
              <w:rPr>
                <w:rFonts w:hint="default" w:asciiTheme="minorEastAsia" w:hAnsiTheme="minorEastAsia" w:eastAsiaTheme="minorEastAsia" w:cstheme="minorEastAsia"/>
                <w:color w:val="000000"/>
                <w:kern w:val="0"/>
                <w:sz w:val="18"/>
                <w:szCs w:val="18"/>
                <w:lang w:val="en-US" w:eastAsia="zh-CN" w:bidi="ar"/>
              </w:rPr>
              <w:t>米</w:t>
            </w:r>
            <w:r>
              <w:rPr>
                <w:rFonts w:hint="eastAsia" w:asciiTheme="minorEastAsia" w:hAnsiTheme="minorEastAsia" w:eastAsiaTheme="minorEastAsia" w:cstheme="minorEastAsia"/>
                <w:color w:val="000000"/>
                <w:kern w:val="0"/>
                <w:sz w:val="18"/>
                <w:szCs w:val="18"/>
                <w:lang w:val="en-US" w:eastAsia="zh-CN" w:bidi="ar"/>
              </w:rPr>
              <w:t>），安装配套制冷系统设备。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通辽市奈曼旗八仙筒镇工贸小区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86.64</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0</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56.64</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0</w:t>
            </w:r>
          </w:p>
        </w:tc>
      </w:tr>
      <w:tr>
        <w:tblPrEx>
          <w:tblCellMar>
            <w:top w:w="15" w:type="dxa"/>
            <w:left w:w="15" w:type="dxa"/>
            <w:bottom w:w="15" w:type="dxa"/>
            <w:right w:w="15" w:type="dxa"/>
          </w:tblCellMar>
        </w:tblPrEx>
        <w:trPr>
          <w:trHeight w:val="111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260吨水果机械冷藏库建设项目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奈曼旗兴华种植专业合作社</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冷藏260吨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水果</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260吨机械冷藏库新建（长36.3米、</w:t>
            </w:r>
            <w:r>
              <w:rPr>
                <w:rFonts w:hint="default" w:asciiTheme="minorEastAsia" w:hAnsiTheme="minorEastAsia" w:eastAsiaTheme="minorEastAsia" w:cstheme="minorEastAsia"/>
                <w:color w:val="000000"/>
                <w:kern w:val="0"/>
                <w:sz w:val="18"/>
                <w:szCs w:val="18"/>
                <w:lang w:val="en-US" w:eastAsia="zh-CN" w:bidi="ar"/>
              </w:rPr>
              <w:t>宽</w:t>
            </w:r>
            <w:r>
              <w:rPr>
                <w:rFonts w:hint="eastAsia" w:asciiTheme="minorEastAsia" w:hAnsiTheme="minorEastAsia" w:eastAsiaTheme="minorEastAsia" w:cstheme="minorEastAsia"/>
                <w:color w:val="000000"/>
                <w:kern w:val="0"/>
                <w:sz w:val="18"/>
                <w:szCs w:val="18"/>
                <w:lang w:val="en-US" w:eastAsia="zh-CN" w:bidi="ar"/>
              </w:rPr>
              <w:t>8.5</w:t>
            </w:r>
            <w:r>
              <w:rPr>
                <w:rFonts w:hint="default" w:asciiTheme="minorEastAsia" w:hAnsiTheme="minorEastAsia" w:eastAsiaTheme="minorEastAsia" w:cstheme="minorEastAsia"/>
                <w:color w:val="000000"/>
                <w:kern w:val="0"/>
                <w:sz w:val="18"/>
                <w:szCs w:val="18"/>
                <w:lang w:val="en-US" w:eastAsia="zh-CN" w:bidi="ar"/>
              </w:rPr>
              <w:t>米</w:t>
            </w:r>
            <w:r>
              <w:rPr>
                <w:rFonts w:hint="eastAsia" w:asciiTheme="minorEastAsia" w:hAnsiTheme="minorEastAsia" w:eastAsiaTheme="minorEastAsia" w:cstheme="minorEastAsia"/>
                <w:color w:val="000000"/>
                <w:kern w:val="0"/>
                <w:sz w:val="18"/>
                <w:szCs w:val="18"/>
                <w:lang w:val="en-US" w:eastAsia="zh-CN" w:bidi="ar"/>
              </w:rPr>
              <w:t>、</w:t>
            </w:r>
            <w:r>
              <w:rPr>
                <w:rFonts w:hint="default" w:asciiTheme="minorEastAsia" w:hAnsiTheme="minorEastAsia" w:eastAsiaTheme="minorEastAsia" w:cstheme="minorEastAsia"/>
                <w:color w:val="000000"/>
                <w:kern w:val="0"/>
                <w:sz w:val="18"/>
                <w:szCs w:val="18"/>
                <w:lang w:val="en-US" w:eastAsia="zh-CN" w:bidi="ar"/>
              </w:rPr>
              <w:t>高</w:t>
            </w:r>
            <w:r>
              <w:rPr>
                <w:rFonts w:hint="eastAsia" w:asciiTheme="minorEastAsia" w:hAnsiTheme="minorEastAsia" w:eastAsiaTheme="minorEastAsia" w:cstheme="minorEastAsia"/>
                <w:color w:val="000000"/>
                <w:kern w:val="0"/>
                <w:sz w:val="18"/>
                <w:szCs w:val="18"/>
                <w:lang w:val="en-US" w:eastAsia="zh-CN" w:bidi="ar"/>
              </w:rPr>
              <w:t>4.3</w:t>
            </w:r>
            <w:r>
              <w:rPr>
                <w:rFonts w:hint="default" w:asciiTheme="minorEastAsia" w:hAnsiTheme="minorEastAsia" w:eastAsiaTheme="minorEastAsia" w:cstheme="minorEastAsia"/>
                <w:color w:val="000000"/>
                <w:kern w:val="0"/>
                <w:sz w:val="18"/>
                <w:szCs w:val="18"/>
                <w:lang w:val="en-US" w:eastAsia="zh-CN" w:bidi="ar"/>
              </w:rPr>
              <w:t>米</w:t>
            </w:r>
            <w:r>
              <w:rPr>
                <w:rFonts w:hint="eastAsia" w:asciiTheme="minorEastAsia" w:hAnsiTheme="minorEastAsia" w:eastAsiaTheme="minorEastAsia" w:cstheme="minorEastAsia"/>
                <w:color w:val="000000"/>
                <w:kern w:val="0"/>
                <w:sz w:val="18"/>
                <w:szCs w:val="18"/>
                <w:lang w:val="en-US" w:eastAsia="zh-CN" w:bidi="ar"/>
              </w:rPr>
              <w:t>），安装配套制冷系统设备。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奈曼旗八仙筒镇大树营子村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88.67</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0</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default" w:asciiTheme="minorEastAsia" w:hAnsiTheme="minorEastAsia" w:eastAsiaTheme="minorEastAsia" w:cstheme="minorEastAsia"/>
                <w:color w:val="000000"/>
                <w:kern w:val="0"/>
                <w:sz w:val="18"/>
                <w:szCs w:val="18"/>
                <w:lang w:val="en-US" w:eastAsia="zh-CN" w:bidi="ar"/>
              </w:rPr>
              <w:t>58.67</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p>
        </w:tc>
      </w:tr>
      <w:tr>
        <w:tblPrEx>
          <w:tblCellMar>
            <w:top w:w="15" w:type="dxa"/>
            <w:left w:w="15" w:type="dxa"/>
            <w:bottom w:w="15" w:type="dxa"/>
            <w:right w:w="15" w:type="dxa"/>
          </w:tblCellMar>
        </w:tblPrEx>
        <w:trPr>
          <w:trHeight w:val="1121" w:hRule="atLeast"/>
          <w:jc w:val="center"/>
        </w:trPr>
        <w:tc>
          <w:tcPr>
            <w:tcW w:w="10952" w:type="dxa"/>
            <w:gridSpan w:val="7"/>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b/>
                <w:bCs/>
                <w:color w:val="000000"/>
                <w:kern w:val="0"/>
                <w:sz w:val="18"/>
                <w:szCs w:val="18"/>
                <w:lang w:eastAsia="zh-CN" w:bidi="ar"/>
              </w:rPr>
              <w:t>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175.31</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60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0</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115.31</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b/>
                <w:bCs/>
                <w:color w:val="000000"/>
                <w:kern w:val="0"/>
                <w:sz w:val="18"/>
                <w:szCs w:val="18"/>
                <w:lang w:val="en-US" w:eastAsia="zh-CN" w:bidi="ar"/>
              </w:rPr>
              <w:t>0</w:t>
            </w:r>
          </w:p>
        </w:tc>
      </w:tr>
      <w:bookmarkEnd w:id="32"/>
      <w:bookmarkEnd w:id="33"/>
      <w:bookmarkEnd w:id="34"/>
      <w:bookmarkEnd w:id="35"/>
    </w:tbl>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6621F"/>
    <w:multiLevelType w:val="singleLevel"/>
    <w:tmpl w:val="429662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TZkODlkYjQ5YzY5OTM4NTQwYmFlMGQ1NzZkNmQifQ=="/>
  </w:docVars>
  <w:rsids>
    <w:rsidRoot w:val="00000000"/>
    <w:rsid w:val="00FD3F85"/>
    <w:rsid w:val="01284C10"/>
    <w:rsid w:val="01657C13"/>
    <w:rsid w:val="03465822"/>
    <w:rsid w:val="03FB6186"/>
    <w:rsid w:val="0462668B"/>
    <w:rsid w:val="04A96068"/>
    <w:rsid w:val="078D2214"/>
    <w:rsid w:val="099E5F6D"/>
    <w:rsid w:val="0AEE6ECB"/>
    <w:rsid w:val="0B9B4163"/>
    <w:rsid w:val="0BBE064B"/>
    <w:rsid w:val="0C4D5E73"/>
    <w:rsid w:val="0CB952B6"/>
    <w:rsid w:val="10D426BF"/>
    <w:rsid w:val="11DC7A7D"/>
    <w:rsid w:val="121D61C9"/>
    <w:rsid w:val="12483364"/>
    <w:rsid w:val="129F0AAB"/>
    <w:rsid w:val="133D454B"/>
    <w:rsid w:val="147E12BF"/>
    <w:rsid w:val="16B70AB9"/>
    <w:rsid w:val="17F90C5D"/>
    <w:rsid w:val="18585B51"/>
    <w:rsid w:val="1954439D"/>
    <w:rsid w:val="1B52666E"/>
    <w:rsid w:val="1B6747EC"/>
    <w:rsid w:val="1BA3785E"/>
    <w:rsid w:val="1D756FD8"/>
    <w:rsid w:val="1DC67833"/>
    <w:rsid w:val="1EC975DB"/>
    <w:rsid w:val="1F3F789D"/>
    <w:rsid w:val="20DA787E"/>
    <w:rsid w:val="21B300CF"/>
    <w:rsid w:val="21CE6CB6"/>
    <w:rsid w:val="246B4C91"/>
    <w:rsid w:val="275814FC"/>
    <w:rsid w:val="2982053D"/>
    <w:rsid w:val="29ED156D"/>
    <w:rsid w:val="2BF471F5"/>
    <w:rsid w:val="2C3167C0"/>
    <w:rsid w:val="2D0A773C"/>
    <w:rsid w:val="2D1C656F"/>
    <w:rsid w:val="2EB37C88"/>
    <w:rsid w:val="2FC5794B"/>
    <w:rsid w:val="305807BF"/>
    <w:rsid w:val="30744ECD"/>
    <w:rsid w:val="309C4B4F"/>
    <w:rsid w:val="31796C3F"/>
    <w:rsid w:val="31BD00AF"/>
    <w:rsid w:val="32B141B6"/>
    <w:rsid w:val="33590AD6"/>
    <w:rsid w:val="34763909"/>
    <w:rsid w:val="35D00DF7"/>
    <w:rsid w:val="36962041"/>
    <w:rsid w:val="37AB4CD8"/>
    <w:rsid w:val="37C36E66"/>
    <w:rsid w:val="38311568"/>
    <w:rsid w:val="38402F20"/>
    <w:rsid w:val="38C945C0"/>
    <w:rsid w:val="39437272"/>
    <w:rsid w:val="3A541FF7"/>
    <w:rsid w:val="3B567FF1"/>
    <w:rsid w:val="3C152DBD"/>
    <w:rsid w:val="3CD76F0F"/>
    <w:rsid w:val="3F47212A"/>
    <w:rsid w:val="3FDF3590"/>
    <w:rsid w:val="3FDF6807"/>
    <w:rsid w:val="405E0EA8"/>
    <w:rsid w:val="42C41CE4"/>
    <w:rsid w:val="43051625"/>
    <w:rsid w:val="45232CF2"/>
    <w:rsid w:val="47A143A2"/>
    <w:rsid w:val="4A05330E"/>
    <w:rsid w:val="4AE01685"/>
    <w:rsid w:val="4B35552D"/>
    <w:rsid w:val="4BBF2302"/>
    <w:rsid w:val="4C39729F"/>
    <w:rsid w:val="4D094EC3"/>
    <w:rsid w:val="4F0973FC"/>
    <w:rsid w:val="4F526AB7"/>
    <w:rsid w:val="519B00B4"/>
    <w:rsid w:val="51B51175"/>
    <w:rsid w:val="51D830B6"/>
    <w:rsid w:val="59875AED"/>
    <w:rsid w:val="5C283AC0"/>
    <w:rsid w:val="5C466736"/>
    <w:rsid w:val="5C4E644E"/>
    <w:rsid w:val="5D46181B"/>
    <w:rsid w:val="5E394EDC"/>
    <w:rsid w:val="5E527038"/>
    <w:rsid w:val="5EFD0600"/>
    <w:rsid w:val="60DD5FF3"/>
    <w:rsid w:val="61E433B1"/>
    <w:rsid w:val="62064602"/>
    <w:rsid w:val="624A49D8"/>
    <w:rsid w:val="62893FC0"/>
    <w:rsid w:val="66147313"/>
    <w:rsid w:val="68C55CEA"/>
    <w:rsid w:val="68C63810"/>
    <w:rsid w:val="68E706FB"/>
    <w:rsid w:val="697A2F79"/>
    <w:rsid w:val="6B085E72"/>
    <w:rsid w:val="6C9210CF"/>
    <w:rsid w:val="6CB61656"/>
    <w:rsid w:val="6D761CA9"/>
    <w:rsid w:val="6DF826BE"/>
    <w:rsid w:val="6E3851B0"/>
    <w:rsid w:val="6EEE63E3"/>
    <w:rsid w:val="70223A22"/>
    <w:rsid w:val="70335C2F"/>
    <w:rsid w:val="70457711"/>
    <w:rsid w:val="72747B1B"/>
    <w:rsid w:val="75E21FDC"/>
    <w:rsid w:val="794C7D62"/>
    <w:rsid w:val="7961380D"/>
    <w:rsid w:val="79951709"/>
    <w:rsid w:val="7A552AB5"/>
    <w:rsid w:val="7AA11582"/>
    <w:rsid w:val="7B8437E3"/>
    <w:rsid w:val="7F36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libri Light" w:hAnsi="Calibri Light" w:cs="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5">
    <w:name w:val="Normal Indent"/>
    <w:basedOn w:val="1"/>
    <w:qFormat/>
    <w:uiPriority w:val="0"/>
    <w:pPr>
      <w:widowControl w:val="0"/>
      <w:spacing w:line="560" w:lineRule="exact"/>
      <w:ind w:firstLine="420" w:firstLineChars="200"/>
      <w:jc w:val="both"/>
    </w:pPr>
    <w:rPr>
      <w:rFonts w:eastAsia="仿宋_GB2312"/>
      <w:kern w:val="2"/>
      <w:sz w:val="32"/>
      <w:szCs w:val="24"/>
      <w:lang w:val="en-US" w:eastAsia="zh-CN" w:bidi="ar-SA"/>
    </w:r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611</Words>
  <Characters>707</Characters>
  <Lines>0</Lines>
  <Paragraphs>0</Paragraphs>
  <TotalTime>10</TotalTime>
  <ScaleCrop>false</ScaleCrop>
  <LinksUpToDate>false</LinksUpToDate>
  <CharactersWithSpaces>725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王磊</cp:lastModifiedBy>
  <dcterms:modified xsi:type="dcterms:W3CDTF">2023-02-16T01:17:02Z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A142C14F4007447C93874BA0F078BEEE</vt:lpwstr>
  </property>
</Properties>
</file>