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为广大青年进一步增强“四个自信”做到“两个维护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，富康社区在“五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四”青年节开展“时代召唤青年、强国复兴有我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演讲比赛</w:t>
      </w:r>
      <w:r>
        <w:rPr>
          <w:rFonts w:hint="eastAsia" w:ascii="仿宋" w:hAnsi="仿宋" w:eastAsia="仿宋"/>
          <w:sz w:val="32"/>
          <w:szCs w:val="32"/>
          <w:lang w:eastAsia="zh-CN"/>
        </w:rPr>
        <w:t>活动。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用于一、二、三奖品及纪念品购买。及参与人员纪念奖品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1日至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41251C31"/>
    <w:rsid w:val="4D0F571D"/>
    <w:rsid w:val="4EB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265</Characters>
  <Lines>2</Lines>
  <Paragraphs>1</Paragraphs>
  <TotalTime>2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2020-04-07T08:53:00Z</cp:lastPrinted>
  <dcterms:modified xsi:type="dcterms:W3CDTF">2022-06-17T08:39:28Z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4DF1F6DFF98B4C24860FAE1AE8CE3531</vt:lpwstr>
  </property>
</Properties>
</file>