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lang w:eastAsia="zh-CN"/>
        </w:rPr>
        <w:t>奈曼旗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医疗保障局召开                    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意识形态领域分析研判会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为进一步加强和改进我局意识形态领域工作，深刻把握意识形态工作的新形势、新任务、新要求。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奈曼旗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医疗保障局召开意识形态领域分析研判会议，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全体干部职工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72390</wp:posOffset>
            </wp:positionV>
            <wp:extent cx="5266690" cy="3592195"/>
            <wp:effectExtent l="0" t="0" r="10160" b="8255"/>
            <wp:wrapTopAndBottom/>
            <wp:docPr id="1" name="图片 1" descr="C:\Users\pc\Desktop\965e8eb4f97307a2e4db0e62b0a42e7.jpg965e8eb4f97307a2e4db0e62b0a4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965e8eb4f97307a2e4db0e62b0a42e7.jpg965e8eb4f97307a2e4db0e62b0a42e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会议对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近期医疗保障局意识形态领域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展开</w:t>
      </w:r>
      <w:r>
        <w:rPr>
          <w:rFonts w:hint="eastAsia" w:ascii="仿宋" w:hAnsi="仿宋" w:eastAsia="仿宋" w:cs="仿宋"/>
          <w:sz w:val="32"/>
          <w:szCs w:val="32"/>
        </w:rPr>
        <w:t>了客观准确的分析研判，对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当前意识形态领域存在的薄弱环节和风险点</w:t>
      </w:r>
      <w:r>
        <w:rPr>
          <w:rFonts w:hint="eastAsia" w:ascii="仿宋" w:hAnsi="仿宋" w:eastAsia="仿宋" w:cs="仿宋"/>
          <w:sz w:val="32"/>
          <w:szCs w:val="32"/>
        </w:rPr>
        <w:t>进行全面的梳理排查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总结出三点不足，并结合医疗保障工作实际及问题整改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措施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，对下一步工作重点进行了安排部署：一是要严格落实意识形态工作责任制；二是要切实加强网络安全建设；三是采取有效措施强化领域意识形态工作。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要发挥好意识形态工作引领社会、凝聚人心、推动发展的强大支撑作用，进一步加强和改进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意识形态工作，牢牢掌握意识形态工作的领导权、主动权、话语权，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确保医疗保障系统上下齐心、协同做战、同步发声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确保意识形态领域向上向好，意识形态阵地牢不可破。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142875</wp:posOffset>
            </wp:positionV>
            <wp:extent cx="5267960" cy="3635375"/>
            <wp:effectExtent l="0" t="0" r="8890" b="3175"/>
            <wp:wrapTight wrapText="bothSides">
              <wp:wrapPolygon>
                <wp:start x="0" y="0"/>
                <wp:lineTo x="0" y="21506"/>
                <wp:lineTo x="21558" y="21506"/>
                <wp:lineTo x="21558" y="0"/>
                <wp:lineTo x="0" y="0"/>
              </wp:wrapPolygon>
            </wp:wrapTight>
            <wp:docPr id="3" name="图片 3" descr="ef1aea2ffc97c7b2d7d7e6c09805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1aea2ffc97c7b2d7d7e6c098059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EyYzdjNTA0ZTM0ODk1ZGMyYWJkMmVhZjJkYWMifQ=="/>
  </w:docVars>
  <w:rsids>
    <w:rsidRoot w:val="00000000"/>
    <w:rsid w:val="065C051A"/>
    <w:rsid w:val="434341EB"/>
    <w:rsid w:val="48E704DA"/>
    <w:rsid w:val="4A467E6B"/>
    <w:rsid w:val="599B318E"/>
    <w:rsid w:val="70D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313</Characters>
  <Lines>0</Lines>
  <Paragraphs>0</Paragraphs>
  <TotalTime>4</TotalTime>
  <ScaleCrop>false</ScaleCrop>
  <LinksUpToDate>false</LinksUpToDate>
  <CharactersWithSpaces>339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2022-10-19T01:09:00Z</dcterms:created>
  <dc:creator>pc</dc:creator>
  <cp:lastModifiedBy>0.0</cp:lastModifiedBy>
  <dcterms:modified xsi:type="dcterms:W3CDTF">2022-10-19T03:48:41Z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0DA495B1EEAC4FB791F11818A9FE9B9A</vt:lpwstr>
  </property>
</Properties>
</file>