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推进DIP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医保支付方式改革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 xml:space="preserve"> 保障医保基金可持续发展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进一步加强基金运行管理，确保医保基金运行安全，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持续深入推进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DIP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医保支付方式改革在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顺利开展，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奈曼旗医疗保障局召开DIP推进工作暨医保基金分析工作会议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。医保部门相关领导、相关科室负责人，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各定点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医疗机构相关领导、相关科室负责人参加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124835"/>
            <wp:effectExtent l="0" t="0" r="10160" b="18415"/>
            <wp:docPr id="4" name="图片 4" descr="b9a2ae7ea1011301c631d06aec27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a2ae7ea1011301c631d06aec27f5d"/>
                    <pic:cNvPicPr>
                      <a:picLocks noChangeAspect="1"/>
                    </pic:cNvPicPr>
                  </pic:nvPicPr>
                  <pic:blipFill>
                    <a:blip r:embed="rId4"/>
                    <a:srcRect t="7828" b="1306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会上与三家公立医疗机构签订服务协议，旗人民医院、蒙医医院就DIP推进工作交流发言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对2021年和2022年一季度医疗保障运行情况进行了分析；通报了我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</w:rPr>
        <w:t>医保基金运行存在的问题和下一步工作要求。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013710"/>
            <wp:effectExtent l="0" t="0" r="10160" b="15240"/>
            <wp:docPr id="7" name="图片 7" descr="01558e8b2f05b746051d5f8de616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558e8b2f05b746051d5f8de6169a7"/>
                    <pic:cNvPicPr>
                      <a:picLocks noChangeAspect="1"/>
                    </pic:cNvPicPr>
                  </pic:nvPicPr>
                  <pic:blipFill>
                    <a:blip r:embed="rId5"/>
                    <a:srcRect t="9243" b="1446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020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172460"/>
            <wp:effectExtent l="0" t="0" r="10160" b="8890"/>
            <wp:docPr id="8" name="图片 8" descr="25674228d1700ab073270b8834d8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5674228d1700ab073270b8834d8de2"/>
                    <pic:cNvPicPr>
                      <a:picLocks noChangeAspect="1"/>
                    </pic:cNvPicPr>
                  </pic:nvPicPr>
                  <pic:blipFill>
                    <a:blip r:embed="rId6"/>
                    <a:srcRect t="11252" b="843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，要充分认识DIP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工作的重要意义，准确把握试点工作的方法路径。要加强组织领导，压实工作责任，强化协调配合，结合工作实际，完善工作措施，确保试点工作顺利开展、有序推进。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要加快推进DIP支付方式改革，确保到2022年底前完成DIP支付方式改革各项任务目标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918460"/>
            <wp:effectExtent l="0" t="0" r="10160" b="15240"/>
            <wp:docPr id="10" name="图片 10" descr="c269ecc9a3c19f395ffd3c4dacf9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269ecc9a3c19f395ffd3c4dacf97ee"/>
                    <pic:cNvPicPr>
                      <a:picLocks noChangeAspect="1"/>
                    </pic:cNvPicPr>
                  </pic:nvPicPr>
                  <pic:blipFill>
                    <a:blip r:embed="rId7"/>
                    <a:srcRect t="14869" b="1125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bdr w:val="none" w:color="auto" w:sz="0" w:space="0"/>
        </w:rPr>
        <w:t>会议要求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要根据医保基金流向，聚焦重点，强化监管，本着“零容忍”的态度，严厉打击查处。要逐步建立“大数据+医保基金监管”模式，以医保基金流向为主线，分析运行轨迹，形成多维度、全方位监管，提升医保治理体系和治理能力。要及时研究新形势、新变化，与时俱进，创新监管方式和手段，为医保改革平稳快速发展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TUyODQ5YmUyOWMxZjdhNThhMTAzY2E2OWUyYjkifQ=="/>
  </w:docVars>
  <w:rsids>
    <w:rsidRoot w:val="00000000"/>
    <w:rsid w:val="050D3DEB"/>
    <w:rsid w:val="1F5743D6"/>
    <w:rsid w:val="46AD1D62"/>
    <w:rsid w:val="4BFE5D3E"/>
    <w:rsid w:val="6A3325A8"/>
    <w:rsid w:val="6A654F73"/>
    <w:rsid w:val="768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839</Characters>
  <Lines>0</Lines>
  <Paragraphs>0</Paragraphs>
  <TotalTime>12</TotalTime>
  <ScaleCrop>false</ScaleCrop>
  <LinksUpToDate>false</LinksUpToDate>
  <CharactersWithSpaces>839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NTKO</cp:lastModifiedBy>
  <dcterms:modified xsi:type="dcterms:W3CDTF">2022-05-26T03:26:24Z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3092B9A5CFFF47C7917C8349BCBF423F</vt:lpwstr>
  </property>
</Properties>
</file>