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疫情防控期间奈曼旗发热门诊和核酸检测机构设置情况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 w:line="33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 w:line="33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8725" cy="6877050"/>
            <wp:effectExtent l="0" t="0" r="952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8725" cy="8067675"/>
            <wp:effectExtent l="0" t="0" r="9525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48250" cy="73914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038725" cy="3295650"/>
            <wp:effectExtent l="0" t="0" r="9525" b="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 w:line="33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610225" cy="7610475"/>
            <wp:effectExtent l="0" t="0" r="9525" b="952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6B3067FF"/>
    <w:rsid w:val="6B30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2022-11-22T07:41:00Z</dcterms:created>
  <dc:creator>admin1</dc:creator>
  <cp:lastModifiedBy>admin1</cp:lastModifiedBy>
  <dcterms:modified xsi:type="dcterms:W3CDTF">2022-11-22T07:43:10Z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3C486280BD1E415EB70467D163D9DE31</vt:lpwstr>
  </property>
</Properties>
</file>