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bookmarkEnd w:id="0"/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eastAsia" w:ascii="方正小标宋简体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"/>
        </w:rPr>
        <w:t>旗政府2022年民生实事任务分工方案</w:t>
      </w:r>
    </w:p>
    <w:p>
      <w:pPr>
        <w:pStyle w:val="2"/>
        <w:widowControl/>
        <w:overflowPunct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1.实施农村牧区生活垃圾治理工程。新建镇级垃圾中转站13座，配套建设垃圾收集车间、管理用房及附属设施等；建设村级垃圾存放点49处、垃圾收集点39处、垃圾堆放场2处。</w:t>
      </w: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（牵头领导：韩占峰；牵头单位：旗农科局；配合单位：旗乡村振兴局、住建局、财政局，各苏木乡镇政府、六号农场管委会、大沁他拉街道办事处）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2.实施农村牧区供水提升工程。建设新镇村村供水联网工程5处，改造新镇镇区管道4800米，新建阀门井15座、清水池1座；新建大镇昂乃联村除铁除锰规模化水厂1座，覆盖大镇、白音他拉苏木13个自然村屯。</w:t>
      </w: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（牵头领导：韩占峰；牵头单位：旗水务局；配合单位：旗乡村振兴局、财政局，大沁他拉镇政府、新镇政府、白音他拉苏木政府）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3.实施农村公路路肩整修工程。维修急难险段路肩100公里。</w:t>
      </w: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（牵头领导：于庆伟；牵头单位：相关苏木乡镇政府、六号农场管委会；配合单位：旗财政局、交通运输局）</w:t>
      </w:r>
    </w:p>
    <w:p>
      <w:pPr>
        <w:keepNext w:val="0"/>
        <w:keepLines w:val="0"/>
        <w:widowControl w:val="0"/>
        <w:suppressLineNumbers w:val="0"/>
        <w:overflowPunct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楷体_GB2312" w:cs="Times New Roman"/>
          <w:b/>
          <w:bCs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4.实施老旧小区改造工程。改造老旧小区16个。</w:t>
      </w: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"/>
        </w:rPr>
        <w:t>（牵头领导：朱子波；牵头单位：旗住建局；配合单位：旗财政局）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4201"/>
    <w:rsid w:val="67F0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 w:line="240" w:lineRule="auto"/>
      <w:ind w:left="0" w:right="0"/>
      <w:jc w:val="center"/>
      <w:outlineLvl w:val="0"/>
    </w:pPr>
    <w:rPr>
      <w:rFonts w:hint="default" w:ascii="Cambria" w:hAnsi="Cambria" w:eastAsia="宋体" w:cs="Times New Roman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2022-03-30T02:54:00Z</dcterms:created>
  <dc:creator>长岛冰茶</dc:creator>
  <cp:lastModifiedBy>长岛冰茶</cp:lastModifiedBy>
  <dcterms:modified xsi:type="dcterms:W3CDTF">2022-03-30T02:54:21Z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3B5407FD64D64011B195F39EF3521300</vt:lpwstr>
  </property>
</Properties>
</file>