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方正小标宋简体"/>
          <w:sz w:val="32"/>
          <w:szCs w:val="32"/>
          <w:lang w:val="en-US" w:eastAsia="zh-CN"/>
        </w:rPr>
      </w:pPr>
      <w:r>
        <w:rPr>
          <w:rFonts w:hint="eastAsia" w:ascii="仿宋" w:hAnsi="仿宋" w:eastAsia="仿宋" w:cs="方正小标宋简体"/>
          <w:sz w:val="32"/>
          <w:szCs w:val="32"/>
          <w:lang w:val="en-US" w:eastAsia="zh-CN"/>
        </w:rPr>
        <w:t>附件4</w:t>
      </w:r>
      <w:bookmarkStart w:id="0" w:name="_GoBack"/>
      <w:bookmarkEnd w:id="0"/>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奈曼旗</w:t>
      </w:r>
      <w:r>
        <w:rPr>
          <w:rFonts w:hint="eastAsia" w:ascii="方正小标宋简体" w:hAnsi="方正小标宋简体" w:eastAsia="方正小标宋简体" w:cs="方正小标宋简体"/>
          <w:sz w:val="44"/>
          <w:szCs w:val="44"/>
          <w:lang w:eastAsia="zh-CN"/>
        </w:rPr>
        <w:t>市场监督管理局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公共服务事项梳理表</w:t>
      </w:r>
    </w:p>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32"/>
        <w:gridCol w:w="886"/>
        <w:gridCol w:w="818"/>
        <w:gridCol w:w="447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3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事项名称</w:t>
            </w:r>
          </w:p>
        </w:tc>
        <w:tc>
          <w:tcPr>
            <w:tcW w:w="88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服务领域</w:t>
            </w:r>
          </w:p>
        </w:tc>
        <w:tc>
          <w:tcPr>
            <w:tcW w:w="81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实施主体</w:t>
            </w:r>
          </w:p>
        </w:tc>
        <w:tc>
          <w:tcPr>
            <w:tcW w:w="447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设定依据</w:t>
            </w:r>
          </w:p>
        </w:tc>
        <w:tc>
          <w:tcPr>
            <w:tcW w:w="94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jc w:val="center"/>
              <w:rPr>
                <w:rFonts w:hint="eastAsia"/>
                <w:sz w:val="18"/>
                <w:szCs w:val="18"/>
                <w:lang w:eastAsia="zh-CN"/>
              </w:rPr>
            </w:pPr>
            <w:r>
              <w:rPr>
                <w:rFonts w:hint="eastAsia"/>
                <w:sz w:val="18"/>
                <w:szCs w:val="18"/>
                <w:lang w:val="en-US" w:eastAsia="zh-CN"/>
              </w:rPr>
              <w:t>1</w:t>
            </w:r>
          </w:p>
        </w:tc>
        <w:tc>
          <w:tcPr>
            <w:tcW w:w="832" w:type="dxa"/>
            <w:vAlign w:val="center"/>
          </w:tcPr>
          <w:p>
            <w:pPr>
              <w:jc w:val="center"/>
              <w:rPr>
                <w:rFonts w:hint="eastAsia"/>
                <w:sz w:val="18"/>
                <w:szCs w:val="18"/>
              </w:rPr>
            </w:pPr>
            <w:r>
              <w:rPr>
                <w:rFonts w:hint="eastAsia"/>
                <w:sz w:val="18"/>
                <w:szCs w:val="18"/>
              </w:rPr>
              <w:t>换照登记</w:t>
            </w:r>
          </w:p>
        </w:tc>
        <w:tc>
          <w:tcPr>
            <w:tcW w:w="886" w:type="dxa"/>
            <w:vAlign w:val="center"/>
          </w:tcPr>
          <w:p>
            <w:pPr>
              <w:jc w:val="center"/>
              <w:rPr>
                <w:rFonts w:hint="eastAsia"/>
                <w:sz w:val="18"/>
                <w:szCs w:val="18"/>
                <w:lang w:eastAsia="zh-CN"/>
              </w:rPr>
            </w:pPr>
            <w:r>
              <w:rPr>
                <w:rFonts w:hint="eastAsia"/>
                <w:sz w:val="18"/>
                <w:szCs w:val="18"/>
                <w:lang w:eastAsia="zh-CN"/>
              </w:rPr>
              <w:t>其他</w:t>
            </w:r>
          </w:p>
        </w:tc>
        <w:tc>
          <w:tcPr>
            <w:tcW w:w="818" w:type="dxa"/>
            <w:vAlign w:val="center"/>
          </w:tcPr>
          <w:p>
            <w:pPr>
              <w:jc w:val="center"/>
              <w:rPr>
                <w:rFonts w:hint="eastAsia"/>
                <w:sz w:val="18"/>
                <w:szCs w:val="18"/>
                <w:lang w:eastAsia="zh-CN"/>
              </w:rPr>
            </w:pPr>
            <w:r>
              <w:rPr>
                <w:rFonts w:hint="eastAsia"/>
                <w:sz w:val="18"/>
                <w:szCs w:val="18"/>
                <w:lang w:eastAsia="zh-CN"/>
              </w:rPr>
              <w:t>奈曼旗市场监督管理局</w:t>
            </w:r>
          </w:p>
        </w:tc>
        <w:tc>
          <w:tcPr>
            <w:tcW w:w="4473" w:type="dxa"/>
            <w:vAlign w:val="center"/>
          </w:tcPr>
          <w:p>
            <w:pPr>
              <w:jc w:val="left"/>
              <w:rPr>
                <w:rFonts w:hint="eastAsia"/>
                <w:sz w:val="18"/>
                <w:szCs w:val="18"/>
              </w:rPr>
            </w:pPr>
            <w:r>
              <w:rPr>
                <w:rFonts w:hint="eastAsia"/>
                <w:sz w:val="18"/>
                <w:szCs w:val="18"/>
              </w:rPr>
              <w:t>《公司登记管理条例》</w:t>
            </w:r>
            <w:r>
              <w:rPr>
                <w:rFonts w:hint="default"/>
                <w:sz w:val="18"/>
                <w:szCs w:val="18"/>
              </w:rPr>
              <w:t>第五十八条 《企业法人营业执照》、《营业执照》分为正本和副本，正本和副本具有同等法律效力。</w:t>
            </w:r>
          </w:p>
          <w:p>
            <w:pPr>
              <w:jc w:val="left"/>
              <w:rPr>
                <w:rFonts w:hint="default"/>
                <w:sz w:val="18"/>
                <w:szCs w:val="18"/>
              </w:rPr>
            </w:pPr>
            <w:r>
              <w:rPr>
                <w:rFonts w:hint="default"/>
                <w:sz w:val="18"/>
                <w:szCs w:val="18"/>
              </w:rPr>
              <w:t>国家推行电子营业执照。电子营业执照与纸质营业执照具有同等法律效力。</w:t>
            </w:r>
          </w:p>
          <w:p>
            <w:pPr>
              <w:jc w:val="left"/>
              <w:rPr>
                <w:rFonts w:hint="default"/>
                <w:sz w:val="18"/>
                <w:szCs w:val="18"/>
              </w:rPr>
            </w:pPr>
            <w:r>
              <w:rPr>
                <w:rFonts w:hint="default"/>
                <w:sz w:val="18"/>
                <w:szCs w:val="18"/>
              </w:rPr>
              <w:t>《企业法人营业执照》正本或者《营业执照》正本应当置于公司住所或者分公司营业场所的醒目位置。</w:t>
            </w:r>
          </w:p>
          <w:p>
            <w:pPr>
              <w:jc w:val="left"/>
              <w:rPr>
                <w:rFonts w:hint="default"/>
                <w:sz w:val="18"/>
                <w:szCs w:val="18"/>
              </w:rPr>
            </w:pPr>
            <w:r>
              <w:rPr>
                <w:rFonts w:hint="default"/>
                <w:sz w:val="18"/>
                <w:szCs w:val="18"/>
              </w:rPr>
              <w:t>公司可以根据业务需要向公司登记机关申请核发营业执照若干副本。</w:t>
            </w:r>
          </w:p>
          <w:p>
            <w:pPr>
              <w:jc w:val="left"/>
              <w:rPr>
                <w:rFonts w:hint="default"/>
                <w:sz w:val="18"/>
                <w:szCs w:val="18"/>
              </w:rPr>
            </w:pPr>
            <w:r>
              <w:rPr>
                <w:rFonts w:hint="default"/>
                <w:sz w:val="18"/>
                <w:szCs w:val="18"/>
              </w:rPr>
              <w:t>第五十九条 任何单位和个人不得伪造、涂改、出租、出借、转让营业执照。</w:t>
            </w:r>
          </w:p>
          <w:p>
            <w:pPr>
              <w:jc w:val="left"/>
              <w:rPr>
                <w:rFonts w:hint="default"/>
                <w:sz w:val="18"/>
                <w:szCs w:val="18"/>
              </w:rPr>
            </w:pPr>
            <w:r>
              <w:rPr>
                <w:rFonts w:hint="default"/>
                <w:sz w:val="18"/>
                <w:szCs w:val="18"/>
              </w:rPr>
              <w:t>营业执照遗失或者毁坏的，公司应当在公司登记机关指定的报刊上声明作废，申请补领。</w:t>
            </w:r>
          </w:p>
          <w:p>
            <w:pPr>
              <w:jc w:val="left"/>
              <w:rPr>
                <w:rFonts w:hint="default"/>
                <w:sz w:val="18"/>
                <w:szCs w:val="18"/>
              </w:rPr>
            </w:pPr>
            <w:r>
              <w:rPr>
                <w:rFonts w:hint="default"/>
                <w:sz w:val="18"/>
                <w:szCs w:val="18"/>
              </w:rPr>
              <w:t>公司登记机关依法作出变更登记、注销登记、撤销变更登记决定，公司拒不缴回或者无法缴回营业执照的，由公司登记机关公告营业执照作废。</w:t>
            </w:r>
          </w:p>
          <w:p>
            <w:pPr>
              <w:jc w:val="left"/>
              <w:rPr>
                <w:rFonts w:hint="eastAsia"/>
                <w:sz w:val="18"/>
                <w:szCs w:val="18"/>
              </w:rPr>
            </w:pPr>
            <w:r>
              <w:rPr>
                <w:rFonts w:hint="eastAsia"/>
                <w:sz w:val="18"/>
                <w:szCs w:val="18"/>
              </w:rPr>
              <w:t>《个体工商户登记管理办法》　第二十七条</w:t>
            </w:r>
            <w:r>
              <w:rPr>
                <w:rFonts w:hint="default"/>
                <w:sz w:val="18"/>
                <w:szCs w:val="18"/>
              </w:rPr>
              <w:t>营业执照遗失或毁损的，应当在国家企业信用信息公示系统上声明作废，并向登记机关申请补领或者更换。</w:t>
            </w:r>
          </w:p>
        </w:tc>
        <w:tc>
          <w:tcPr>
            <w:tcW w:w="948"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trPr>
        <w:tc>
          <w:tcPr>
            <w:tcW w:w="565" w:type="dxa"/>
            <w:vAlign w:val="center"/>
          </w:tcPr>
          <w:p>
            <w:pPr>
              <w:jc w:val="center"/>
              <w:rPr>
                <w:rFonts w:hint="eastAsia"/>
                <w:sz w:val="18"/>
                <w:szCs w:val="18"/>
                <w:lang w:val="en-US" w:eastAsia="zh-CN"/>
              </w:rPr>
            </w:pPr>
            <w:r>
              <w:rPr>
                <w:rFonts w:hint="eastAsia"/>
                <w:sz w:val="18"/>
                <w:szCs w:val="18"/>
                <w:lang w:val="en-US" w:eastAsia="zh-CN"/>
              </w:rPr>
              <w:t>2</w:t>
            </w:r>
          </w:p>
        </w:tc>
        <w:tc>
          <w:tcPr>
            <w:tcW w:w="832" w:type="dxa"/>
            <w:vAlign w:val="center"/>
          </w:tcPr>
          <w:p>
            <w:pPr>
              <w:jc w:val="center"/>
              <w:rPr>
                <w:rFonts w:hint="eastAsia"/>
                <w:sz w:val="18"/>
                <w:szCs w:val="18"/>
              </w:rPr>
            </w:pPr>
            <w:r>
              <w:rPr>
                <w:rFonts w:hint="eastAsia"/>
                <w:sz w:val="18"/>
                <w:szCs w:val="18"/>
              </w:rPr>
              <w:t>特种设备安装、改造、维修施工告知</w:t>
            </w:r>
          </w:p>
        </w:tc>
        <w:tc>
          <w:tcPr>
            <w:tcW w:w="886" w:type="dxa"/>
            <w:vAlign w:val="center"/>
          </w:tcPr>
          <w:p>
            <w:pPr>
              <w:jc w:val="center"/>
              <w:rPr>
                <w:sz w:val="28"/>
                <w:szCs w:val="28"/>
              </w:rPr>
            </w:pPr>
            <w:r>
              <w:rPr>
                <w:rFonts w:hint="eastAsia"/>
                <w:sz w:val="18"/>
                <w:szCs w:val="18"/>
                <w:lang w:eastAsia="zh-CN"/>
              </w:rPr>
              <w:t>其他</w:t>
            </w:r>
          </w:p>
        </w:tc>
        <w:tc>
          <w:tcPr>
            <w:tcW w:w="818" w:type="dxa"/>
            <w:vAlign w:val="center"/>
          </w:tcPr>
          <w:p>
            <w:pPr>
              <w:jc w:val="center"/>
              <w:rPr>
                <w:rFonts w:hint="eastAsia"/>
                <w:sz w:val="18"/>
                <w:szCs w:val="18"/>
              </w:rPr>
            </w:pPr>
            <w:r>
              <w:rPr>
                <w:rFonts w:hint="eastAsia"/>
                <w:sz w:val="18"/>
                <w:szCs w:val="18"/>
                <w:lang w:eastAsia="zh-CN"/>
              </w:rPr>
              <w:t>奈曼旗市场监督管理局</w:t>
            </w:r>
          </w:p>
        </w:tc>
        <w:tc>
          <w:tcPr>
            <w:tcW w:w="4473" w:type="dxa"/>
            <w:vAlign w:val="center"/>
          </w:tcPr>
          <w:p>
            <w:pPr>
              <w:jc w:val="left"/>
              <w:rPr>
                <w:rFonts w:hint="eastAsia"/>
                <w:sz w:val="18"/>
                <w:szCs w:val="18"/>
              </w:rPr>
            </w:pPr>
            <w:r>
              <w:rPr>
                <w:rFonts w:hint="eastAsia"/>
                <w:sz w:val="18"/>
                <w:szCs w:val="18"/>
              </w:rPr>
              <w:t>《中华人民共和国特种设备安全法》第</w:t>
            </w:r>
            <w:r>
              <w:rPr>
                <w:rFonts w:hint="eastAsia"/>
                <w:sz w:val="18"/>
                <w:szCs w:val="18"/>
                <w:lang w:eastAsia="zh-CN"/>
              </w:rPr>
              <w:t>二十三</w:t>
            </w:r>
            <w:r>
              <w:rPr>
                <w:rFonts w:hint="eastAsia"/>
                <w:sz w:val="18"/>
                <w:szCs w:val="18"/>
              </w:rPr>
              <w:t>条</w:t>
            </w:r>
            <w:r>
              <w:rPr>
                <w:rFonts w:hint="default"/>
                <w:sz w:val="18"/>
                <w:szCs w:val="18"/>
              </w:rPr>
              <w:t>第二十三条 特种</w:t>
            </w:r>
            <w:r>
              <w:rPr>
                <w:rFonts w:hint="default"/>
                <w:sz w:val="18"/>
                <w:szCs w:val="18"/>
              </w:rPr>
              <w:fldChar w:fldCharType="begin"/>
            </w:r>
            <w:r>
              <w:rPr>
                <w:rFonts w:hint="default"/>
                <w:sz w:val="18"/>
                <w:szCs w:val="18"/>
              </w:rPr>
              <w:instrText xml:space="preserve"> HYPERLINK "https://baike.so.com/doc/5342970-5578413.html" \t "https://baike.so.com/doc/_blank" </w:instrText>
            </w:r>
            <w:r>
              <w:rPr>
                <w:rFonts w:hint="default"/>
                <w:sz w:val="18"/>
                <w:szCs w:val="18"/>
              </w:rPr>
              <w:fldChar w:fldCharType="separate"/>
            </w:r>
            <w:r>
              <w:rPr>
                <w:rFonts w:hint="default"/>
                <w:sz w:val="18"/>
                <w:szCs w:val="18"/>
              </w:rPr>
              <w:t>设备</w:t>
            </w:r>
            <w:r>
              <w:rPr>
                <w:rFonts w:hint="default"/>
                <w:sz w:val="18"/>
                <w:szCs w:val="18"/>
              </w:rPr>
              <w:fldChar w:fldCharType="end"/>
            </w:r>
            <w:r>
              <w:rPr>
                <w:rFonts w:hint="default"/>
                <w:sz w:val="18"/>
                <w:szCs w:val="18"/>
              </w:rPr>
              <w:t>安装、改造、修理的施工单位应当在施工前将拟进行的特种设备安装、改造、修理情况书面告知直辖市或者设区的市级人民政府负责特种设备安全监督管理的部门。</w:t>
            </w:r>
          </w:p>
        </w:tc>
        <w:tc>
          <w:tcPr>
            <w:tcW w:w="948" w:type="dxa"/>
            <w:vAlign w:val="center"/>
          </w:tcPr>
          <w:p>
            <w:pPr>
              <w:jc w:val="center"/>
              <w:rPr>
                <w:sz w:val="28"/>
                <w:szCs w:val="28"/>
              </w:rP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2F39"/>
    <w:rsid w:val="00105C90"/>
    <w:rsid w:val="00227C6E"/>
    <w:rsid w:val="00354034"/>
    <w:rsid w:val="004B2F39"/>
    <w:rsid w:val="006F3516"/>
    <w:rsid w:val="00843E4A"/>
    <w:rsid w:val="00D51DC2"/>
    <w:rsid w:val="00DC4BD1"/>
    <w:rsid w:val="0F5C5D34"/>
    <w:rsid w:val="10793F3B"/>
    <w:rsid w:val="23B34157"/>
    <w:rsid w:val="2AC64675"/>
    <w:rsid w:val="388D5086"/>
    <w:rsid w:val="39A33BEB"/>
    <w:rsid w:val="3C1A694B"/>
    <w:rsid w:val="51771E2F"/>
    <w:rsid w:val="59823588"/>
    <w:rsid w:val="64190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rFonts w:ascii="Calibri" w:hAnsi="Calibri" w:eastAsia="宋体" w:cs="Times New Roman"/>
      <w:sz w:val="18"/>
      <w:szCs w:val="18"/>
    </w:rPr>
  </w:style>
  <w:style w:type="character" w:customStyle="1" w:styleId="10">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Words>
  <Characters>200</Characters>
  <Lines>1</Lines>
  <Paragraphs>1</Paragraphs>
  <TotalTime>13</TotalTime>
  <ScaleCrop>false</ScaleCrop>
  <LinksUpToDate>false</LinksUpToDate>
  <CharactersWithSpaces>234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2019-11-25T08:20:00Z</dcterms:created>
  <dc:creator>lenovo</dc:creator>
  <cp:lastModifiedBy>拉拉</cp:lastModifiedBy>
  <dcterms:modified xsi:type="dcterms:W3CDTF">2019-12-23T03:23:56Z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