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4"/>
      <w:r>
        <w:rPr>
          <w:rFonts w:hint="eastAsia" w:ascii="方正小标宋_GBK" w:hAnsi="方正小标宋_GBK" w:eastAsia="方正小标宋_GBK"/>
          <w:b w:val="0"/>
          <w:bCs w:val="0"/>
          <w:sz w:val="30"/>
        </w:rPr>
        <w:t>（二十一）</w:t>
      </w:r>
      <w:bookmarkStart w:id="1" w:name="_GoBack"/>
      <w:r>
        <w:rPr>
          <w:rFonts w:hint="eastAsia" w:ascii="方正小标宋_GBK" w:hAnsi="方正小标宋_GBK" w:eastAsia="方正小标宋_GBK"/>
          <w:b w:val="0"/>
          <w:bCs w:val="0"/>
          <w:sz w:val="30"/>
        </w:rPr>
        <w:t>卫生健康领域基层政务公开标准目录</w:t>
      </w:r>
      <w:bookmarkEnd w:id="1"/>
      <w:bookmarkEnd w:id="0"/>
    </w:p>
    <w:tbl>
      <w:tblPr>
        <w:tblStyle w:val="9"/>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1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16"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1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72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720" w:type="dxa"/>
            <w:vMerge w:val="restart"/>
            <w:shd w:val="clear" w:color="auto" w:fill="auto"/>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行政许可类事项</w:t>
            </w:r>
          </w:p>
        </w:tc>
        <w:tc>
          <w:tcPr>
            <w:tcW w:w="1188"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母婴保健技术服务机构执业许可（包括计划生育技术服务机构执业许可）（权限内）</w:t>
            </w:r>
          </w:p>
        </w:tc>
        <w:tc>
          <w:tcPr>
            <w:tcW w:w="41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720" w:type="dxa"/>
            <w:vMerge w:val="continue"/>
            <w:shd w:val="clear" w:color="auto" w:fill="auto"/>
            <w:vAlign w:val="center"/>
          </w:tcPr>
          <w:p>
            <w:pPr>
              <w:rPr>
                <w:rFonts w:hint="eastAsia" w:ascii="仿宋_GB2312" w:hAnsi="宋体" w:eastAsia="仿宋_GB2312" w:cs="宋体"/>
                <w:bCs/>
                <w:color w:val="000000"/>
                <w:sz w:val="18"/>
                <w:szCs w:val="18"/>
              </w:rPr>
            </w:pPr>
          </w:p>
        </w:tc>
        <w:tc>
          <w:tcPr>
            <w:tcW w:w="1188" w:type="dxa"/>
            <w:vMerge w:val="continue"/>
            <w:shd w:val="clear" w:color="auto" w:fill="auto"/>
            <w:vAlign w:val="center"/>
          </w:tcPr>
          <w:p>
            <w:pPr>
              <w:rPr>
                <w:rFonts w:hint="eastAsia" w:ascii="仿宋_GB2312" w:hAnsi="宋体" w:eastAsia="仿宋_GB2312" w:cs="宋体"/>
                <w:color w:val="000000"/>
                <w:sz w:val="18"/>
                <w:szCs w:val="18"/>
              </w:rPr>
            </w:pPr>
          </w:p>
        </w:tc>
        <w:tc>
          <w:tcPr>
            <w:tcW w:w="41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结果信息——母婴保健技术服务执业许可证信息</w:t>
            </w:r>
          </w:p>
        </w:tc>
        <w:tc>
          <w:tcPr>
            <w:tcW w:w="1800" w:type="dxa"/>
            <w:vMerge w:val="continue"/>
            <w:vAlign w:val="center"/>
          </w:tcPr>
          <w:p>
            <w:pPr>
              <w:rPr>
                <w:rFonts w:hint="eastAsia" w:ascii="仿宋_GB2312" w:hAnsi="宋体" w:eastAsia="仿宋_GB2312" w:cs="宋体"/>
                <w:color w:val="000000"/>
                <w:sz w:val="18"/>
                <w:szCs w:val="18"/>
              </w:rPr>
            </w:pPr>
          </w:p>
        </w:tc>
        <w:tc>
          <w:tcPr>
            <w:tcW w:w="144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母婴保健服务人员资格认定（包括计划生育技术服务人员合格证）（权限内）</w:t>
            </w:r>
          </w:p>
        </w:tc>
        <w:tc>
          <w:tcPr>
            <w:tcW w:w="41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pPr>
              <w:rPr>
                <w:rFonts w:ascii="仿宋_GB2312" w:hAnsi="宋体" w:eastAsia="仿宋_GB2312"/>
                <w:color w:val="000000"/>
                <w:sz w:val="18"/>
                <w:szCs w:val="18"/>
              </w:rPr>
            </w:pP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188" w:type="dxa"/>
            <w:vMerge w:val="continue"/>
            <w:shd w:val="clear" w:color="auto" w:fill="auto"/>
            <w:vAlign w:val="center"/>
          </w:tcPr>
          <w:p>
            <w:pPr>
              <w:rPr>
                <w:rFonts w:ascii="仿宋_GB2312" w:hAnsi="宋体" w:eastAsia="仿宋_GB2312"/>
                <w:color w:val="000000"/>
                <w:sz w:val="18"/>
                <w:szCs w:val="18"/>
              </w:rPr>
            </w:pPr>
          </w:p>
        </w:tc>
        <w:tc>
          <w:tcPr>
            <w:tcW w:w="41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pPr>
              <w:rPr>
                <w:rFonts w:ascii="仿宋_GB2312" w:hAnsi="宋体" w:eastAsia="仿宋_GB2312"/>
                <w:color w:val="000000"/>
                <w:sz w:val="18"/>
                <w:szCs w:val="18"/>
              </w:rPr>
            </w:p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医疗机构设置审批（含港澳台，外商独资除外）（权限内）</w:t>
            </w: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《行政许可法》、《中医药法》、《医疗机构管理条例》、《国务院关于取消和下放50项行政审批项目等事项的决定》、《医疗机构管理条例实施细则》、《医疗美容服务管理办法》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188" w:type="dxa"/>
            <w:vMerge w:val="continue"/>
            <w:shd w:val="clear" w:color="auto" w:fill="auto"/>
            <w:vAlign w:val="center"/>
          </w:tcPr>
          <w:p>
            <w:pPr>
              <w:rPr>
                <w:rFonts w:ascii="仿宋_GB2312" w:hAnsi="宋体" w:eastAsia="仿宋_GB2312"/>
                <w:color w:val="000000"/>
                <w:sz w:val="18"/>
                <w:szCs w:val="18"/>
              </w:rPr>
            </w:pP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结果信息——设置审批结果信息</w:t>
            </w:r>
          </w:p>
        </w:tc>
        <w:tc>
          <w:tcPr>
            <w:tcW w:w="1800" w:type="dxa"/>
            <w:vMerge w:val="continue"/>
            <w:vAlign w:val="center"/>
          </w:tcPr>
          <w:p>
            <w:pPr>
              <w:rPr>
                <w:rFonts w:ascii="仿宋_GB2312" w:hAnsi="宋体" w:eastAsia="仿宋_GB2312"/>
                <w:color w:val="000000"/>
                <w:sz w:val="18"/>
                <w:szCs w:val="18"/>
              </w:rPr>
            </w:p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188" w:type="dxa"/>
            <w:vMerge w:val="continue"/>
            <w:shd w:val="clear" w:color="auto" w:fill="auto"/>
            <w:vAlign w:val="center"/>
          </w:tcPr>
          <w:p>
            <w:pPr>
              <w:rPr>
                <w:rFonts w:ascii="仿宋_GB2312" w:hAnsi="宋体" w:eastAsia="仿宋_GB2312"/>
                <w:color w:val="000000"/>
                <w:sz w:val="18"/>
                <w:szCs w:val="18"/>
              </w:rPr>
            </w:pP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800" w:type="dxa"/>
            <w:vMerge w:val="continue"/>
            <w:vAlign w:val="center"/>
          </w:tcPr>
          <w:p>
            <w:pPr>
              <w:rPr>
                <w:rFonts w:ascii="仿宋_GB2312" w:hAnsi="宋体" w:eastAsia="仿宋_GB2312"/>
                <w:color w:val="000000"/>
                <w:sz w:val="18"/>
                <w:szCs w:val="18"/>
              </w:rPr>
            </w:p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01 行政许可类事项</w:t>
            </w:r>
          </w:p>
        </w:tc>
        <w:tc>
          <w:tcPr>
            <w:tcW w:w="1188"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《行政许可法》、《执业医师法》、《医师执业注册管理办法》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188" w:type="dxa"/>
            <w:vMerge w:val="continue"/>
            <w:shd w:val="clear" w:color="auto" w:fill="auto"/>
            <w:vAlign w:val="center"/>
          </w:tcPr>
          <w:p>
            <w:pPr>
              <w:rPr>
                <w:rFonts w:ascii="仿宋_GB2312" w:hAnsi="宋体" w:eastAsia="仿宋_GB2312"/>
                <w:color w:val="000000"/>
                <w:sz w:val="18"/>
                <w:szCs w:val="18"/>
              </w:rPr>
            </w:pP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pPr>
              <w:jc w:val="center"/>
              <w:rPr>
                <w:rFonts w:ascii="仿宋_GB2312" w:hAnsi="宋体" w:eastAsia="仿宋_GB2312"/>
                <w:color w:val="000000"/>
                <w:sz w:val="18"/>
                <w:szCs w:val="18"/>
              </w:rPr>
            </w:p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414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宋体" w:hAnsi="宋体" w:cs="宋体"/>
                <w:color w:val="000000"/>
                <w:kern w:val="0"/>
                <w:sz w:val="18"/>
                <w:szCs w:val="18"/>
              </w:rPr>
            </w:pPr>
          </w:p>
        </w:tc>
        <w:tc>
          <w:tcPr>
            <w:tcW w:w="720" w:type="dxa"/>
            <w:vMerge w:val="continue"/>
            <w:shd w:val="clear" w:color="auto" w:fill="auto"/>
            <w:vAlign w:val="center"/>
          </w:tcPr>
          <w:p>
            <w:pPr>
              <w:widowControl/>
              <w:jc w:val="left"/>
              <w:rPr>
                <w:rFonts w:ascii="宋体" w:hAnsi="宋体" w:cs="宋体"/>
                <w:bCs/>
                <w:color w:val="000000"/>
                <w:kern w:val="0"/>
                <w:sz w:val="15"/>
                <w:szCs w:val="15"/>
              </w:rPr>
            </w:pPr>
          </w:p>
        </w:tc>
        <w:tc>
          <w:tcPr>
            <w:tcW w:w="1188" w:type="dxa"/>
            <w:vMerge w:val="continue"/>
            <w:shd w:val="clear" w:color="auto" w:fill="auto"/>
            <w:vAlign w:val="center"/>
          </w:tcPr>
          <w:p>
            <w:pPr>
              <w:widowControl/>
              <w:jc w:val="left"/>
              <w:rPr>
                <w:rFonts w:ascii="宋体" w:hAnsi="宋体" w:cs="宋体"/>
                <w:color w:val="000000"/>
                <w:kern w:val="0"/>
                <w:sz w:val="15"/>
                <w:szCs w:val="15"/>
              </w:rPr>
            </w:pPr>
          </w:p>
        </w:tc>
        <w:tc>
          <w:tcPr>
            <w:tcW w:w="414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pPr>
              <w:widowControl/>
              <w:jc w:val="left"/>
              <w:rPr>
                <w:rFonts w:ascii="仿宋_GB2312" w:hAnsi="宋体" w:eastAsia="仿宋_GB2312"/>
                <w:color w:val="000000"/>
                <w:sz w:val="18"/>
                <w:szCs w:val="18"/>
              </w:rPr>
            </w:pPr>
          </w:p>
        </w:tc>
        <w:tc>
          <w:tcPr>
            <w:tcW w:w="144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414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《行政许可法》、《传染病防治法》、《传染病防治法实施办法》、《国务院对确需保留的行政审批项目设定行政许可的决定》、《生活饮用水卫生监督管理办法》</w:t>
            </w:r>
          </w:p>
        </w:tc>
        <w:tc>
          <w:tcPr>
            <w:tcW w:w="144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宋体" w:eastAsia="仿宋_GB2312"/>
                <w:color w:val="000000"/>
                <w:sz w:val="18"/>
                <w:szCs w:val="18"/>
              </w:rPr>
            </w:pPr>
          </w:p>
        </w:tc>
        <w:tc>
          <w:tcPr>
            <w:tcW w:w="720" w:type="dxa"/>
            <w:vMerge w:val="continue"/>
            <w:shd w:val="clear" w:color="auto" w:fill="auto"/>
            <w:vAlign w:val="center"/>
          </w:tcPr>
          <w:p>
            <w:pPr>
              <w:widowControl/>
              <w:jc w:val="left"/>
              <w:rPr>
                <w:rFonts w:ascii="仿宋_GB2312" w:hAnsi="宋体" w:eastAsia="仿宋_GB2312"/>
                <w:color w:val="000000"/>
                <w:sz w:val="18"/>
                <w:szCs w:val="18"/>
              </w:rPr>
            </w:pPr>
          </w:p>
        </w:tc>
        <w:tc>
          <w:tcPr>
            <w:tcW w:w="1188" w:type="dxa"/>
            <w:vMerge w:val="continue"/>
            <w:shd w:val="clear" w:color="auto" w:fill="auto"/>
            <w:vAlign w:val="center"/>
          </w:tcPr>
          <w:p>
            <w:pPr>
              <w:widowControl/>
              <w:jc w:val="left"/>
              <w:rPr>
                <w:rFonts w:ascii="仿宋_GB2312" w:hAnsi="宋体" w:eastAsia="仿宋_GB2312"/>
                <w:color w:val="000000"/>
                <w:sz w:val="18"/>
                <w:szCs w:val="18"/>
              </w:rPr>
            </w:pPr>
          </w:p>
        </w:tc>
        <w:tc>
          <w:tcPr>
            <w:tcW w:w="414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pPr>
              <w:widowControl/>
              <w:jc w:val="left"/>
              <w:rPr>
                <w:rFonts w:ascii="仿宋_GB2312" w:hAnsi="宋体" w:eastAsia="仿宋_GB2312"/>
                <w:color w:val="000000"/>
                <w:sz w:val="18"/>
                <w:szCs w:val="18"/>
              </w:rPr>
            </w:pPr>
          </w:p>
        </w:tc>
        <w:tc>
          <w:tcPr>
            <w:tcW w:w="144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rPr>
                <w:rFonts w:hint="eastAsia" w:ascii="仿宋_GB2312" w:hAnsi="宋体" w:eastAsia="仿宋_GB2312"/>
                <w:color w:val="000000"/>
                <w:sz w:val="18"/>
                <w:szCs w:val="18"/>
              </w:rPr>
            </w:pPr>
          </w:p>
        </w:tc>
        <w:tc>
          <w:tcPr>
            <w:tcW w:w="596" w:type="dxa"/>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rPr>
                <w:rFonts w:hint="eastAsia" w:ascii="仿宋_GB2312" w:hAnsi="宋体" w:eastAsia="仿宋_GB2312"/>
                <w:color w:val="000000"/>
                <w:sz w:val="18"/>
                <w:szCs w:val="18"/>
              </w:rPr>
            </w:pPr>
          </w:p>
        </w:tc>
        <w:tc>
          <w:tcPr>
            <w:tcW w:w="540" w:type="dxa"/>
            <w:shd w:val="clear" w:color="auto" w:fill="auto"/>
            <w:vAlign w:val="center"/>
          </w:tcPr>
          <w:p>
            <w:pPr>
              <w:widowControl/>
              <w:rPr>
                <w:rFonts w:hint="eastAsia" w:ascii="仿宋_GB2312" w:hAnsi="宋体" w:eastAsia="仿宋_GB2312"/>
                <w:color w:val="000000"/>
                <w:sz w:val="18"/>
                <w:szCs w:val="18"/>
              </w:rPr>
            </w:pPr>
          </w:p>
        </w:tc>
        <w:tc>
          <w:tcPr>
            <w:tcW w:w="664" w:type="dxa"/>
            <w:shd w:val="clear" w:color="auto" w:fill="auto"/>
            <w:vAlign w:val="center"/>
          </w:tcPr>
          <w:p>
            <w:pPr>
              <w:widowControl/>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对不符合规定条件的医疗机构擅自从事精神障碍诊断、治疗的处罚</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pPr>
              <w:widowControl/>
              <w:rPr>
                <w:rFonts w:ascii="仿宋_GB2312" w:hAnsi="宋体" w:eastAsia="仿宋_GB2312"/>
                <w:color w:val="000000"/>
                <w:sz w:val="18"/>
                <w:szCs w:val="18"/>
              </w:rPr>
            </w:pPr>
          </w:p>
        </w:tc>
        <w:tc>
          <w:tcPr>
            <w:tcW w:w="144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pPr>
              <w:widowControl/>
              <w:rPr>
                <w:rFonts w:ascii="仿宋_GB2312" w:hAnsi="宋体" w:eastAsia="仿宋_GB2312"/>
                <w:color w:val="000000"/>
                <w:sz w:val="18"/>
                <w:szCs w:val="18"/>
              </w:rPr>
            </w:pPr>
          </w:p>
        </w:tc>
        <w:tc>
          <w:tcPr>
            <w:tcW w:w="144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rPr>
          <w:rFonts w:hint="eastAsia" w:ascii="楷体_GB2312" w:eastAsia="楷体_GB2312"/>
          <w:sz w:val="30"/>
          <w:szCs w:val="30"/>
        </w:rPr>
      </w:pPr>
      <w:r>
        <w:rPr>
          <w:rFonts w:hint="eastAsia" w:ascii="楷体_GB2312" w:eastAsia="楷体_GB2312"/>
          <w:sz w:val="30"/>
          <w:szCs w:val="30"/>
        </w:rPr>
        <w:t>备注：考虑到篇幅原因，卫生健康领域基层政务公开标准目录其他内容略。详见</w:t>
      </w:r>
      <w:r>
        <w:fldChar w:fldCharType="begin"/>
      </w:r>
      <w:r>
        <w:instrText xml:space="preserve"> HYPERLINK "http://www.nhc.gov.cn/bgt/s7692/201909/0f5c5f6f96eb4a218ccd2b15ca0ce294.shtml" </w:instrText>
      </w:r>
      <w:r>
        <w:fldChar w:fldCharType="separate"/>
      </w:r>
      <w:r>
        <w:rPr>
          <w:rStyle w:val="14"/>
          <w:rFonts w:ascii="楷体_GB2312" w:eastAsia="楷体_GB2312"/>
          <w:sz w:val="30"/>
          <w:szCs w:val="30"/>
        </w:rPr>
        <w:t>http://www.nhc.gov.cn/bgt/s7692/201909/0f5c5f6f96eb4a218ccd2b15ca0ce294.shtml</w:t>
      </w:r>
      <w:r>
        <w:rPr>
          <w:rStyle w:val="14"/>
          <w:rFonts w:ascii="楷体_GB2312" w:eastAsia="楷体_GB2312"/>
          <w:sz w:val="30"/>
          <w:szCs w:val="30"/>
        </w:rP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00C4C"/>
    <w:rsid w:val="002967AA"/>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56955"/>
    <w:rsid w:val="00C3715A"/>
    <w:rsid w:val="00D31D5E"/>
    <w:rsid w:val="00F07C25"/>
    <w:rsid w:val="00FA002F"/>
    <w:rsid w:val="62330DF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D790-06FC-4C94-9787-7FBB3E514EEB}">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4725</Words>
  <Characters>4848</Characters>
  <Lines>39</Lines>
  <Paragraphs>11</Paragraphs>
  <TotalTime>5</TotalTime>
  <ScaleCrop>false</ScaleCrop>
  <LinksUpToDate>false</LinksUpToDate>
  <CharactersWithSpaces>5077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2020-03-06T07:44:00Z</dcterms:created>
  <dc:creator>tai yuzhu</dc:creator>
  <cp:lastModifiedBy>雅痞未遂</cp:lastModifiedBy>
  <dcterms:modified xsi:type="dcterms:W3CDTF">2022-09-26T09:32:04Z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288D957FD80A463C9840B0BB990BC134</vt:lpwstr>
  </property>
</Properties>
</file>