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5月份工作总结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6月份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2022年5月份工作总结和6月份工作计划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一、5月份工作总结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收到旗教体局学生校外小饭桌信息登记表，</w:t>
      </w:r>
      <w:r>
        <w:rPr>
          <w:rFonts w:hint="eastAsia" w:ascii="仿宋_GB2312" w:hAnsi="仿宋_GB2312" w:eastAsia="仿宋_GB2312" w:cs="仿宋_GB2312"/>
          <w:sz w:val="32"/>
          <w:szCs w:val="32"/>
          <w:lang w:val="en-US" w:eastAsia="zh-CN"/>
        </w:rPr>
        <w:t>全旗</w:t>
      </w:r>
      <w:r>
        <w:rPr>
          <w:rFonts w:hint="default" w:ascii="仿宋_GB2312" w:hAnsi="仿宋_GB2312" w:eastAsia="仿宋_GB2312" w:cs="仿宋_GB2312"/>
          <w:sz w:val="32"/>
          <w:szCs w:val="32"/>
          <w:lang w:val="en-US" w:eastAsia="zh-CN"/>
        </w:rPr>
        <w:t>共150家小饭桌，涉及3924名学生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联合教育、公安等部门开展联合检查，并对小饭桌进行备案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截至目前，已备案139家，不予备案12家。开展彻查餐饮环节“3·15”晚会曝光问题食品，我旗共有提供酸菜鱼、酸菜面、酸辣粉、烤涮苕粉等包含有关食材的餐饮单位75家，检查工作仍在进行中。截至目前，我旗共有集中隔离点12处，为其配送餐饮的服务单位5家，我局联合旗卫生健康委员会，对5家集中隔离点餐饮配送单位进行了全方位的督导检查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保障了隔离点宾馆供餐需要，充分考虑隔离点人员的营养需求，对每餐的菜谱进行了精心安排。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印发了《2022年医疗器械监管工作要点》、《2022年全旗药品医疗器械化妆品监督检查计划》、《全旗药品经营和使用环节专项检查工作方案等4个方案》、《全旗医疗器械质量安全风隐患险排查整治实施方案》。完成了《2022年全市药品专项整治交叉互检工作方案》的检查任务，对库伦旗15家“两品一械”经营使用单位进行了检查，出动执法人员45人次。开展了医疗器械经营单位专项检查行动，共检查药械经营单位22家，出动执法人员52人次，当场进行行政处罚9起，对发现的安全生产问题进行了认真整改。按规定对新冠疫苗分发单位和接种单位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对上月市局督导组检查出的问题隐患整改情况进行现场核查，共31条隐患，已整改完成27条;开展五一节后特种设备安全检查工作，共检查特种设备使用单位4家，发现问题隐患14条，已整改3处，其余隐患正在整改中。对入驻查安康风险管控平台的高风险特种设备使用单位进行督促，督促其完成每日自查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开展了转供电环节价格集体约谈会，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家转供电主体负责人参加了约谈会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会上宣读了《关于清理规范转供电加价行为的提醒告诫书》，详细解读了《清理规范转供电环节收费相关政策》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lang w:val="en-US" w:eastAsia="zh-CN"/>
        </w:rPr>
        <w:t>召开了规范核酸检测服务价格行为约谈会，</w:t>
      </w:r>
      <w:r>
        <w:rPr>
          <w:rFonts w:hint="eastAsia" w:ascii="仿宋_GB2312" w:hAnsi="仿宋_GB2312" w:eastAsia="仿宋_GB2312" w:cs="仿宋_GB2312"/>
          <w:sz w:val="32"/>
          <w:szCs w:val="32"/>
        </w:rPr>
        <w:t>对辖区2家医疗机构进行约谈。约谈会通报了近期专项检查中发现的问题，并就下一步整改落实内容作了进一步明确。</w:t>
      </w:r>
      <w:r>
        <w:rPr>
          <w:rFonts w:hint="eastAsia" w:ascii="仿宋_GB2312" w:hAnsi="仿宋_GB2312" w:eastAsia="仿宋_GB2312" w:cs="仿宋_GB2312"/>
          <w:b w:val="0"/>
          <w:bCs/>
          <w:sz w:val="32"/>
          <w:szCs w:val="32"/>
          <w:lang w:val="en-US" w:eastAsia="zh-CN"/>
        </w:rPr>
        <w:t>开展了教育收费专项检查工作，</w:t>
      </w:r>
      <w:r>
        <w:rPr>
          <w:rFonts w:hint="eastAsia" w:ascii="仿宋_GB2312" w:hAnsi="仿宋_GB2312" w:eastAsia="仿宋_GB2312" w:cs="仿宋_GB2312"/>
          <w:sz w:val="32"/>
          <w:szCs w:val="32"/>
          <w:lang w:val="en-US" w:eastAsia="zh-CN"/>
        </w:rPr>
        <w:t>对旗内4家学校教育收费情况进行检查，经检查，各学校均能严格执行各项收费制度，严格落实义务教育阶段免费政策。</w:t>
      </w:r>
      <w:r>
        <w:rPr>
          <w:rFonts w:hint="eastAsia" w:ascii="仿宋_GB2312" w:hAnsi="仿宋_GB2312" w:eastAsia="仿宋_GB2312" w:cs="仿宋_GB2312"/>
          <w:b w:val="0"/>
          <w:bCs/>
          <w:sz w:val="32"/>
          <w:szCs w:val="32"/>
          <w:lang w:val="en-US" w:eastAsia="zh-CN"/>
        </w:rPr>
        <w:t>开展了公平竞争审查工作，</w:t>
      </w:r>
      <w:r>
        <w:rPr>
          <w:rFonts w:hint="eastAsia" w:ascii="仿宋_GB2312" w:hAnsi="仿宋_GB2312" w:eastAsia="仿宋_GB2312" w:cs="仿宋_GB2312"/>
          <w:sz w:val="32"/>
          <w:szCs w:val="32"/>
          <w:lang w:val="en-US" w:eastAsia="zh-CN"/>
        </w:rPr>
        <w:t>对奈曼旗住房和城乡建设局、文化和旅游局制定的政策措施是否妨碍统一市场和公平竞争情况进行抽查，共审查清理存量文件2件，不存在妨碍统一市场、涉及地方保护、指定交易和限制、排除竞争行为。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rPr>
        <w:t>制定印发了《奈曼旗市场监管领域2022年度部门联合“双随机、一公开”抽查计划》和《奈曼旗2022年“双随机、一公开”监管工作实施方案》，并按计划开展工作。目前，已制定跨部门双随机任务6批次，完成1批次；随机抽取检查对象 158户，公示率达100%。</w:t>
      </w:r>
      <w:r>
        <w:rPr>
          <w:rFonts w:hint="eastAsia" w:ascii="仿宋_GB2312" w:hAnsi="仿宋_GB2312" w:eastAsia="仿宋_GB2312" w:cs="仿宋_GB2312"/>
          <w:b w:val="0"/>
          <w:bCs w:val="0"/>
          <w:sz w:val="32"/>
          <w:szCs w:val="32"/>
        </w:rPr>
        <w:t>加强涉企信息归集工作。</w:t>
      </w:r>
      <w:r>
        <w:rPr>
          <w:rFonts w:hint="eastAsia" w:ascii="仿宋_GB2312" w:hAnsi="仿宋_GB2312" w:eastAsia="仿宋_GB2312" w:cs="仿宋_GB2312"/>
          <w:sz w:val="32"/>
          <w:szCs w:val="32"/>
        </w:rPr>
        <w:t>制定印发了《奈曼旗2022年涉企信息归集与共享工作实施方案》，成立了涉企信息归集与共享专项工作领导小组，形成了分工明确、责任清晰的工作机制，督促旗直各相关部门按照归集路径，实现本部门企业信息的及时、准确、统一归集并公示，目前涉企信息归集行政许可352条、行政处罚86条、司法协助1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仿宋" w:hAnsi="仿宋" w:eastAsia="仿宋" w:cs="仿宋"/>
          <w:sz w:val="32"/>
          <w:szCs w:val="32"/>
          <w:lang w:val="en-US"/>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（五）全力做好计量标准化认证认可检验检测工作。</w:t>
      </w:r>
      <w:r>
        <w:rPr>
          <w:rFonts w:hint="eastAsia" w:ascii="仿宋" w:hAnsi="仿宋" w:eastAsia="仿宋" w:cs="仿宋"/>
          <w:sz w:val="32"/>
          <w:szCs w:val="32"/>
          <w:lang w:val="en-US" w:eastAsia="zh-CN"/>
        </w:rPr>
        <w:t>开展了世界计量日宣传活动;</w:t>
      </w:r>
      <w:r>
        <w:rPr>
          <w:rFonts w:hint="eastAsia" w:ascii="仿宋" w:hAnsi="仿宋" w:eastAsia="仿宋" w:cs="仿宋"/>
          <w:sz w:val="32"/>
          <w:szCs w:val="32"/>
        </w:rPr>
        <w:t>对奈曼旗</w:t>
      </w:r>
      <w:r>
        <w:rPr>
          <w:rFonts w:hint="eastAsia" w:ascii="仿宋" w:hAnsi="仿宋" w:eastAsia="仿宋" w:cs="仿宋"/>
          <w:sz w:val="32"/>
          <w:szCs w:val="32"/>
          <w:lang w:val="en-US" w:eastAsia="zh-CN"/>
        </w:rPr>
        <w:t>公安司法鉴定中心、奈曼旗风利机动车检测有限公司、奈曼旗岩磊机动车检测有限公司的检验检测机构资质认定、机构体系运行是否有效等检测行为</w:t>
      </w:r>
      <w:r>
        <w:rPr>
          <w:rFonts w:hint="eastAsia" w:ascii="仿宋" w:hAnsi="仿宋" w:eastAsia="仿宋" w:cs="仿宋"/>
          <w:sz w:val="32"/>
          <w:szCs w:val="32"/>
        </w:rPr>
        <w:t>开展监督检查</w:t>
      </w:r>
      <w:r>
        <w:rPr>
          <w:rFonts w:hint="eastAsia" w:ascii="仿宋" w:hAnsi="仿宋" w:eastAsia="仿宋" w:cs="仿宋"/>
          <w:sz w:val="32"/>
          <w:szCs w:val="32"/>
          <w:lang w:val="en-US" w:eastAsia="zh-CN"/>
        </w:rPr>
        <w:t>;</w:t>
      </w:r>
      <w:r>
        <w:rPr>
          <w:rFonts w:hint="eastAsia" w:ascii="仿宋" w:hAnsi="仿宋" w:eastAsia="仿宋" w:cs="仿宋"/>
          <w:i w:val="0"/>
          <w:caps w:val="0"/>
          <w:color w:val="222222"/>
          <w:spacing w:val="0"/>
          <w:sz w:val="32"/>
          <w:szCs w:val="32"/>
        </w:rPr>
        <w:t>为加强对</w:t>
      </w:r>
      <w:r>
        <w:rPr>
          <w:rFonts w:hint="eastAsia" w:ascii="仿宋" w:hAnsi="仿宋" w:eastAsia="仿宋" w:cs="仿宋"/>
          <w:i w:val="0"/>
          <w:caps w:val="0"/>
          <w:color w:val="222222"/>
          <w:spacing w:val="0"/>
          <w:sz w:val="32"/>
          <w:szCs w:val="32"/>
          <w:lang w:val="en-US" w:eastAsia="zh-CN"/>
        </w:rPr>
        <w:t>检验检测</w:t>
      </w:r>
      <w:r>
        <w:rPr>
          <w:rFonts w:hint="eastAsia" w:ascii="仿宋" w:hAnsi="仿宋" w:eastAsia="仿宋" w:cs="仿宋"/>
          <w:i w:val="0"/>
          <w:caps w:val="0"/>
          <w:color w:val="222222"/>
          <w:spacing w:val="0"/>
          <w:sz w:val="32"/>
          <w:szCs w:val="32"/>
        </w:rPr>
        <w:t>机构的监督管理</w:t>
      </w:r>
      <w:r>
        <w:rPr>
          <w:rFonts w:hint="eastAsia" w:ascii="仿宋" w:hAnsi="仿宋" w:eastAsia="仿宋" w:cs="仿宋"/>
          <w:sz w:val="32"/>
          <w:szCs w:val="32"/>
          <w:lang w:val="en-US" w:eastAsia="zh-CN"/>
        </w:rPr>
        <w:t>，优化检测市场环境，对我旗范围内的8家检验检测机构开展了监督检查，此次检查</w:t>
      </w:r>
      <w:r>
        <w:rPr>
          <w:rFonts w:hint="eastAsia" w:ascii="仿宋" w:hAnsi="仿宋" w:eastAsia="仿宋" w:cs="仿宋"/>
          <w:sz w:val="32"/>
          <w:szCs w:val="32"/>
          <w:highlight w:val="none"/>
          <w:lang w:val="en-US" w:eastAsia="zh-CN"/>
        </w:rPr>
        <w:t>规范了检验检测市场秩序。配合</w:t>
      </w:r>
      <w:r>
        <w:rPr>
          <w:rFonts w:hint="eastAsia" w:ascii="仿宋" w:hAnsi="仿宋" w:eastAsia="仿宋" w:cs="仿宋"/>
          <w:sz w:val="32"/>
          <w:szCs w:val="32"/>
        </w:rPr>
        <w:t>内蒙古自治区质量和标准化研究院工作小组</w:t>
      </w:r>
      <w:r>
        <w:rPr>
          <w:rFonts w:hint="eastAsia" w:ascii="仿宋" w:hAnsi="仿宋" w:eastAsia="仿宋" w:cs="仿宋"/>
          <w:sz w:val="32"/>
          <w:szCs w:val="32"/>
          <w:lang w:val="en-US" w:eastAsia="zh-CN"/>
        </w:rPr>
        <w:t>开</w:t>
      </w:r>
      <w:r>
        <w:rPr>
          <w:rFonts w:hint="eastAsia" w:ascii="仿宋" w:hAnsi="仿宋" w:eastAsia="仿宋" w:cs="仿宋"/>
          <w:sz w:val="32"/>
          <w:szCs w:val="32"/>
        </w:rPr>
        <w:t>第二批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蒙</w:t>
      </w:r>
      <w:r>
        <w:rPr>
          <w:rFonts w:hint="eastAsia" w:ascii="仿宋" w:hAnsi="仿宋" w:eastAsia="仿宋" w:cs="仿宋"/>
          <w:sz w:val="32"/>
          <w:szCs w:val="32"/>
          <w:lang w:eastAsia="zh-CN"/>
        </w:rPr>
        <w:t>”</w:t>
      </w:r>
      <w:r>
        <w:rPr>
          <w:rFonts w:hint="eastAsia" w:ascii="仿宋" w:hAnsi="仿宋" w:eastAsia="仿宋" w:cs="仿宋"/>
          <w:sz w:val="32"/>
          <w:szCs w:val="32"/>
        </w:rPr>
        <w:t>字标品牌认证</w:t>
      </w:r>
      <w:r>
        <w:rPr>
          <w:rFonts w:hint="eastAsia" w:ascii="仿宋" w:hAnsi="仿宋" w:eastAsia="仿宋" w:cs="仿宋"/>
          <w:sz w:val="32"/>
          <w:szCs w:val="32"/>
          <w:lang w:val="en-US" w:eastAsia="zh-CN"/>
        </w:rPr>
        <w:t>工作进行调研，并召开</w:t>
      </w:r>
      <w:r>
        <w:rPr>
          <w:rFonts w:hint="eastAsia" w:ascii="仿宋" w:hAnsi="仿宋" w:eastAsia="仿宋" w:cs="仿宋"/>
          <w:sz w:val="32"/>
          <w:szCs w:val="32"/>
        </w:rPr>
        <w:t>座谈会</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val="en-US" w:eastAsia="zh-CN"/>
        </w:rPr>
        <w:t>调研</w:t>
      </w:r>
      <w:r>
        <w:rPr>
          <w:rFonts w:hint="eastAsia" w:ascii="仿宋" w:hAnsi="仿宋" w:eastAsia="仿宋" w:cs="仿宋"/>
          <w:sz w:val="32"/>
          <w:szCs w:val="32"/>
        </w:rPr>
        <w:t>，对</w:t>
      </w:r>
      <w:r>
        <w:rPr>
          <w:rFonts w:hint="eastAsia" w:ascii="仿宋" w:hAnsi="仿宋" w:eastAsia="仿宋" w:cs="仿宋"/>
          <w:sz w:val="32"/>
          <w:szCs w:val="32"/>
          <w:lang w:val="en-US" w:eastAsia="zh-CN"/>
        </w:rPr>
        <w:t>完善我旗“</w:t>
      </w:r>
      <w:r>
        <w:rPr>
          <w:rFonts w:hint="eastAsia" w:ascii="仿宋" w:hAnsi="仿宋" w:eastAsia="仿宋" w:cs="仿宋"/>
          <w:sz w:val="32"/>
          <w:szCs w:val="32"/>
        </w:rPr>
        <w:t>蒙</w:t>
      </w:r>
      <w:r>
        <w:rPr>
          <w:rFonts w:hint="eastAsia" w:ascii="仿宋" w:hAnsi="仿宋" w:eastAsia="仿宋" w:cs="仿宋"/>
          <w:sz w:val="32"/>
          <w:szCs w:val="32"/>
          <w:lang w:val="en-US" w:eastAsia="zh-CN"/>
        </w:rPr>
        <w:t>”</w:t>
      </w:r>
      <w:r>
        <w:rPr>
          <w:rFonts w:hint="eastAsia" w:ascii="仿宋" w:hAnsi="仿宋" w:eastAsia="仿宋" w:cs="仿宋"/>
          <w:sz w:val="32"/>
          <w:szCs w:val="32"/>
        </w:rPr>
        <w:t>字标认证</w:t>
      </w:r>
      <w:r>
        <w:rPr>
          <w:rFonts w:hint="eastAsia" w:ascii="仿宋" w:hAnsi="仿宋" w:eastAsia="仿宋" w:cs="仿宋"/>
          <w:sz w:val="32"/>
          <w:szCs w:val="32"/>
          <w:lang w:val="en-US" w:eastAsia="zh-CN"/>
        </w:rPr>
        <w:t>工作体系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全面提升特色农副产品对外知名度将起到积极的推动作用</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配合自治区计量院完成</w:t>
      </w:r>
      <w:r>
        <w:rPr>
          <w:rFonts w:hint="eastAsia" w:ascii="仿宋" w:hAnsi="仿宋" w:eastAsia="仿宋" w:cs="仿宋"/>
          <w:sz w:val="32"/>
          <w:szCs w:val="32"/>
          <w:lang w:val="en-US" w:eastAsia="zh-CN"/>
        </w:rPr>
        <w:t>华强供热有限公司、凌云糖业有限公司、和谊镍铬复合材料有限公司三家重点用能企业能耗在线监测系统的验收工作。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（六）全力做好综合行政执法工作。</w:t>
      </w:r>
      <w:r>
        <w:rPr>
          <w:rFonts w:hint="eastAsia" w:ascii="仿宋_GB2312" w:eastAsia="仿宋_GB2312"/>
          <w:color w:val="000000" w:themeColor="text1"/>
          <w:sz w:val="32"/>
          <w:szCs w:val="32"/>
          <w:lang w:val="en-US" w:eastAsia="zh-CN"/>
          <w14:textFill>
            <w14:solidFill>
              <w14:schemeClr w14:val="tx1"/>
            </w14:solidFill>
          </w14:textFill>
        </w:rPr>
        <w:t>共处理投诉举报、监督抽检等涉嫌违法案件共立案12起，结案0起，在办案件12起，涉嫌犯罪案件移送公安机关0起，罚没款合计0元。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（七）全力做好党建及党风廉政建设工作。</w:t>
      </w:r>
      <w:r>
        <w:rPr>
          <w:rFonts w:hint="eastAsia" w:ascii="仿宋_GB2312" w:eastAsia="仿宋_GB2312"/>
          <w:color w:val="000000" w:themeColor="text1"/>
          <w:sz w:val="32"/>
          <w:szCs w:val="32"/>
          <w:lang w:val="en-US" w:eastAsia="zh-CN"/>
          <w14:textFill>
            <w14:solidFill>
              <w14:schemeClr w14:val="tx1"/>
            </w14:solidFill>
          </w14:textFill>
        </w:rPr>
        <w:t>成立外卖骑手行业农资市场联合党支部；组织本系统内环节干部担当作为专项谈心谈话；组织本系统内科级领导干部培训；进行本系统内部网络安全自查。扎实推进“两学一做”、“三会一课”学习教育常态化制度化，积极开展“每周一学”；认真开展党组理论学习中心集中学习活动，推动中心组理论学习经常化、规范化、实效化。完成5月份旗纪委监委执纪平台下发的党风廉政建设主体责任考核各项任务，准备相关佐证材料并形成工作总结上报。持续推进党员“学习强国”学习常态化日常化，对各党组织学习情况进行周通报、月统计、季总结；落实组织部、宣传部关于“学习强国”平台学习的各项任务及表彰内容；开展集中治理党内政治生活问题相关工作；申请上报旗级“最强党支部”示范点；贯彻落实《关于深化新时代党建引领城区基层社会治理的实施意见》重点任务分工方案；汇总系统内科级领导干部受表彰奖励情况、政治素质自评材料、党委（党组）书记对干部政治素质情况评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二、6月份工作计划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926401D"/>
    <w:rsid w:val="0DBC1FF7"/>
    <w:rsid w:val="110B6D69"/>
    <w:rsid w:val="11987449"/>
    <w:rsid w:val="189002EB"/>
    <w:rsid w:val="18CC54D7"/>
    <w:rsid w:val="1CE70B4C"/>
    <w:rsid w:val="1E8E096D"/>
    <w:rsid w:val="209161C3"/>
    <w:rsid w:val="20C944FA"/>
    <w:rsid w:val="22AD3D0A"/>
    <w:rsid w:val="23000C01"/>
    <w:rsid w:val="29534736"/>
    <w:rsid w:val="297A634F"/>
    <w:rsid w:val="2AFA3D21"/>
    <w:rsid w:val="2B692E8E"/>
    <w:rsid w:val="2E7E77AE"/>
    <w:rsid w:val="2EE840D4"/>
    <w:rsid w:val="2F0023D1"/>
    <w:rsid w:val="325E2C51"/>
    <w:rsid w:val="327229A2"/>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727869"/>
    <w:rsid w:val="5DB81B6B"/>
    <w:rsid w:val="5E424FF3"/>
    <w:rsid w:val="5FF013F8"/>
    <w:rsid w:val="60335F35"/>
    <w:rsid w:val="60CF2457"/>
    <w:rsid w:val="60D91A5F"/>
    <w:rsid w:val="626E77EF"/>
    <w:rsid w:val="64655BC0"/>
    <w:rsid w:val="666316CC"/>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4813</Words>
  <Characters>4882</Characters>
  <Lines>0</Lines>
  <Paragraphs>0</Paragraphs>
  <TotalTime>5</TotalTime>
  <ScaleCrop>false</ScaleCrop>
  <LinksUpToDate>false</LinksUpToDate>
  <CharactersWithSpaces>4948</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2022-05-31T07:04:00Z</cp:lastPrinted>
  <dcterms:modified xsi:type="dcterms:W3CDTF">2022-09-27T07:45:18Z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67A6025D119F4C009BDDA8216ECE30D2</vt:lpwstr>
  </property>
</Properties>
</file>