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exact"/>
        <w:ind w:left="0" w:right="0" w:firstLine="562" w:firstLineChars="200"/>
        <w:jc w:val="center"/>
        <w:rPr>
          <w:rFonts w:hint="eastAsia" w:ascii="宋体" w:hAnsi="宋体" w:eastAsia="宋体" w:cs="宋体"/>
          <w:b/>
          <w:bCs/>
          <w:i w:val="0"/>
          <w:iCs w:val="0"/>
          <w:caps w:val="0"/>
          <w:color w:val="333333"/>
          <w:spacing w:val="0"/>
          <w:kern w:val="0"/>
          <w:sz w:val="28"/>
          <w:szCs w:val="28"/>
          <w:u w:val="none"/>
          <w:bdr w:val="none" w:color="auto" w:sz="0" w:space="0"/>
          <w:shd w:val="clear" w:fill="FFFFFF"/>
          <w:lang w:val="en-US" w:eastAsia="zh-CN" w:bidi="ar"/>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通辽市2021年政务公开工作要点分工通辽市2021年政务公开工作要点分工台账</w:t>
      </w:r>
      <w:bookmarkStart w:id="0" w:name="_GoBack"/>
      <w:bookmarkEnd w:id="0"/>
    </w:p>
    <w:tbl>
      <w:tblPr>
        <w:tblW w:w="14444"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75"/>
        <w:gridCol w:w="1550"/>
        <w:gridCol w:w="6436"/>
        <w:gridCol w:w="3017"/>
        <w:gridCol w:w="176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49" w:hRule="atLeast"/>
        </w:trPr>
        <w:tc>
          <w:tcPr>
            <w:tcW w:w="3225" w:type="dxa"/>
            <w:gridSpan w:val="2"/>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80" w:firstLineChars="200"/>
              <w:jc w:val="left"/>
              <w:textAlignment w:val="auto"/>
              <w:rPr>
                <w:rFonts w:hint="eastAsia" w:ascii="宋体" w:hAnsi="宋体" w:eastAsia="宋体" w:cs="宋体"/>
                <w:sz w:val="21"/>
                <w:szCs w:val="21"/>
                <w:u w:val="none"/>
              </w:rPr>
            </w:pPr>
            <w:r>
              <w:rPr>
                <w:rFonts w:hint="eastAsia" w:ascii="宋体" w:hAnsi="宋体" w:eastAsia="宋体" w:cs="宋体"/>
                <w:i w:val="0"/>
                <w:iCs w:val="0"/>
                <w:caps w:val="0"/>
                <w:color w:val="333333"/>
                <w:spacing w:val="0"/>
                <w:kern w:val="0"/>
                <w:sz w:val="24"/>
                <w:szCs w:val="24"/>
                <w:u w:val="none"/>
                <w:bdr w:val="none" w:color="auto" w:sz="0" w:space="0"/>
                <w:shd w:val="clear" w:fill="FFFFFF"/>
                <w:lang w:val="en-US" w:eastAsia="zh-CN" w:bidi="ar"/>
              </w:rPr>
              <w:t> </w:t>
            </w:r>
            <w:r>
              <w:rPr>
                <w:rFonts w:hint="eastAsia" w:ascii="宋体" w:hAnsi="宋体" w:eastAsia="宋体" w:cs="宋体"/>
                <w:b/>
                <w:bCs/>
                <w:i w:val="0"/>
                <w:iCs w:val="0"/>
                <w:kern w:val="0"/>
                <w:sz w:val="21"/>
                <w:szCs w:val="21"/>
                <w:u w:val="none"/>
                <w:bdr w:val="none" w:color="auto" w:sz="0" w:space="0"/>
                <w:lang w:val="en-US" w:eastAsia="zh-CN" w:bidi="ar"/>
              </w:rPr>
              <w:t>任务名称</w:t>
            </w:r>
          </w:p>
        </w:tc>
        <w:tc>
          <w:tcPr>
            <w:tcW w:w="6436"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bdr w:val="none" w:color="auto" w:sz="0" w:space="0"/>
                <w:lang w:val="en-US" w:eastAsia="zh-CN" w:bidi="ar"/>
              </w:rPr>
              <w:t>具体任务</w:t>
            </w:r>
          </w:p>
        </w:tc>
        <w:tc>
          <w:tcPr>
            <w:tcW w:w="301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bdr w:val="none" w:color="auto" w:sz="0" w:space="0"/>
                <w:lang w:val="en-US" w:eastAsia="zh-CN" w:bidi="ar"/>
              </w:rPr>
              <w:t>责任单位</w:t>
            </w:r>
          </w:p>
        </w:tc>
        <w:tc>
          <w:tcPr>
            <w:tcW w:w="1766"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bdr w:val="none" w:color="auto" w:sz="0" w:space="0"/>
                <w:lang w:val="en-US" w:eastAsia="zh-CN" w:bidi="ar"/>
              </w:rPr>
              <w:t>完成时限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30" w:hRule="atLeast"/>
        </w:trPr>
        <w:tc>
          <w:tcPr>
            <w:tcW w:w="1675"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一、紧扣重点领域信息，深化主动公开工作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一、紧扣重点领域信息，深化主动公开工作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一、紧扣重点领域信息，深化主动公开工作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一、紧扣重点领域信息，深化主动公开工作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tc>
        <w:tc>
          <w:tcPr>
            <w:tcW w:w="155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bdr w:val="none" w:color="auto" w:sz="0" w:space="0"/>
                <w:lang w:val="en-US" w:eastAsia="zh-CN" w:bidi="ar"/>
              </w:rPr>
              <w:t>(一)强化各类规划信息主动公开</w:t>
            </w:r>
          </w:p>
        </w:tc>
        <w:tc>
          <w:tcPr>
            <w:tcW w:w="6436" w:type="dxa"/>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1.旗县（市、区）政府要主动公开本地区“十四五”规划纲要、国土空间规划、专项规划和区域规划等信息；市政府有关部门要根据职能职责，主动公开相关规划信息；各地各有关部门要做好历史规划（计划）的归集整理，集中统一对外公开。</w:t>
            </w:r>
          </w:p>
        </w:tc>
        <w:tc>
          <w:tcPr>
            <w:tcW w:w="301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旗县（市、区）政府、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开发区管委会；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市发改、自然资源、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住建、生态环境等有关部门</w:t>
            </w:r>
          </w:p>
        </w:tc>
        <w:tc>
          <w:tcPr>
            <w:tcW w:w="1766"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2021年12月底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928" w:hRule="atLeast"/>
        </w:trPr>
        <w:tc>
          <w:tcPr>
            <w:tcW w:w="167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bdr w:val="none" w:color="auto" w:sz="0" w:space="0"/>
                <w:lang w:val="en-US" w:eastAsia="zh-CN" w:bidi="ar"/>
              </w:rPr>
              <w:t>（二）强化稳增长保民生信息公开</w:t>
            </w:r>
          </w:p>
        </w:tc>
        <w:tc>
          <w:tcPr>
            <w:tcW w:w="64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2.公开交通水利、市政工程、防灾减灾等重大建设项目的批准实施信息；做好教育、医疗、养老、文化旅游、环境保护、产品质量等领域的信息公开工作；公开促进就业创业的政策措施及就业供求信息。</w:t>
            </w:r>
          </w:p>
        </w:tc>
        <w:tc>
          <w:tcPr>
            <w:tcW w:w="301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旗县（市、区）政府、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开发区管委会；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市水务、住建、应急、教育、卫健、医保、人社、市场监管、生态环境、文旅等有关部门</w:t>
            </w:r>
          </w:p>
        </w:tc>
        <w:tc>
          <w:tcPr>
            <w:tcW w:w="1766"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全年持续推进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全年持续推进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26" w:hRule="atLeast"/>
        </w:trPr>
        <w:tc>
          <w:tcPr>
            <w:tcW w:w="167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continue"/>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64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3.通过多种形式公开义务教育及学前教育供给相关信息。</w:t>
            </w:r>
          </w:p>
        </w:tc>
        <w:tc>
          <w:tcPr>
            <w:tcW w:w="301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旗县（市、区）政府、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开发区管委会；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市教育局</w:t>
            </w:r>
          </w:p>
        </w:tc>
        <w:tc>
          <w:tcPr>
            <w:tcW w:w="1766" w:type="dxa"/>
            <w:vMerge w:val="continue"/>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5" w:hRule="atLeast"/>
        </w:trPr>
        <w:tc>
          <w:tcPr>
            <w:tcW w:w="167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bdr w:val="none" w:color="auto" w:sz="0" w:space="0"/>
                <w:lang w:val="en-US" w:eastAsia="zh-CN" w:bidi="ar"/>
              </w:rPr>
              <w:t>（二）强化稳增长保民生信息公开</w:t>
            </w:r>
          </w:p>
        </w:tc>
        <w:tc>
          <w:tcPr>
            <w:tcW w:w="64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4.加大医疗服务、药品安全、医保监管、疫苗监管、公立医疗卫生机构绩效考核结果等方面信息公开力度。</w:t>
            </w:r>
          </w:p>
        </w:tc>
        <w:tc>
          <w:tcPr>
            <w:tcW w:w="301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旗县（市、区）政府、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开发区管委会；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市市场监管、卫健、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医保等有关部门</w:t>
            </w:r>
          </w:p>
        </w:tc>
        <w:tc>
          <w:tcPr>
            <w:tcW w:w="1766" w:type="dxa"/>
            <w:vMerge w:val="continue"/>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25" w:hRule="atLeast"/>
        </w:trPr>
        <w:tc>
          <w:tcPr>
            <w:tcW w:w="167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continue"/>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64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5.推进征地信息主动公开，加快历史征地信息补录。</w:t>
            </w:r>
          </w:p>
        </w:tc>
        <w:tc>
          <w:tcPr>
            <w:tcW w:w="301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旗县（市、区）政府、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开发区管委会；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市自然资源局</w:t>
            </w:r>
          </w:p>
        </w:tc>
        <w:tc>
          <w:tcPr>
            <w:tcW w:w="176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全年持续推进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41" w:hRule="atLeast"/>
        </w:trPr>
        <w:tc>
          <w:tcPr>
            <w:tcW w:w="167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bdr w:val="none" w:color="auto" w:sz="0" w:space="0"/>
                <w:lang w:val="en-US" w:eastAsia="zh-CN" w:bidi="ar"/>
              </w:rPr>
              <w:t>（三）推进优化营商环境信息公开</w:t>
            </w:r>
          </w:p>
        </w:tc>
        <w:tc>
          <w:tcPr>
            <w:tcW w:w="64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6.细化与公民、法人和其他组织利益紧密相关的简政放权、减税降费等服务及监管执法信息公开。</w:t>
            </w:r>
          </w:p>
        </w:tc>
        <w:tc>
          <w:tcPr>
            <w:tcW w:w="301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旗县（市、区）政府、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开发区管委会；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市本级承担公共服务、行政许可、行政处罚、行政强制等职责的部门</w:t>
            </w:r>
          </w:p>
        </w:tc>
        <w:tc>
          <w:tcPr>
            <w:tcW w:w="176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全年持续推进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70" w:hRule="atLeast"/>
        </w:trPr>
        <w:tc>
          <w:tcPr>
            <w:tcW w:w="167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continue"/>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64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7.加大政策性文件、通报类文件、工作部署类文件、议事协调类文件的公开力度。</w:t>
            </w:r>
          </w:p>
        </w:tc>
        <w:tc>
          <w:tcPr>
            <w:tcW w:w="301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旗县（市、区）政府、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开发区管委会；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市政府各部门</w:t>
            </w:r>
          </w:p>
        </w:tc>
        <w:tc>
          <w:tcPr>
            <w:tcW w:w="176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全年持续推进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96" w:hRule="atLeast"/>
        </w:trPr>
        <w:tc>
          <w:tcPr>
            <w:tcW w:w="167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bdr w:val="none" w:color="auto" w:sz="0" w:space="0"/>
                <w:lang w:val="en-US" w:eastAsia="zh-CN" w:bidi="ar"/>
              </w:rPr>
              <w:t>（三）推进优化营商环境信息公开</w:t>
            </w:r>
          </w:p>
        </w:tc>
        <w:tc>
          <w:tcPr>
            <w:tcW w:w="64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8.将本地区本部门现行有效的规章和规范性文件通过政府网站的政府信息公开专栏等平台集中公开，并建立常态化公开机制。</w:t>
            </w:r>
          </w:p>
        </w:tc>
        <w:tc>
          <w:tcPr>
            <w:tcW w:w="301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旗县（市、区）政府、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开发区管委会；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市政府各部门</w:t>
            </w:r>
          </w:p>
        </w:tc>
        <w:tc>
          <w:tcPr>
            <w:tcW w:w="176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2021年10月底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500" w:hRule="atLeast"/>
        </w:trPr>
        <w:tc>
          <w:tcPr>
            <w:tcW w:w="167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continue"/>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64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9.依托政务服务大厅、政府网站、政务新媒体和12345市民服务热线等载体，全面推进决策、执行、管理、服务、结果全过程公开，为企业和群众提供“一站式”的信息公开服务。</w:t>
            </w:r>
          </w:p>
        </w:tc>
        <w:tc>
          <w:tcPr>
            <w:tcW w:w="301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旗县（市、区）政府、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开发区管委会；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市行政审批和政务服务局牵头，有关部门配合</w:t>
            </w:r>
          </w:p>
        </w:tc>
        <w:tc>
          <w:tcPr>
            <w:tcW w:w="176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全年持续推进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85" w:hRule="atLeast"/>
        </w:trPr>
        <w:tc>
          <w:tcPr>
            <w:tcW w:w="167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bdr w:val="none" w:color="auto" w:sz="0" w:space="0"/>
                <w:lang w:val="en-US" w:eastAsia="zh-CN" w:bidi="ar"/>
              </w:rPr>
              <w:t>（四）推动政务服务信息公开</w:t>
            </w:r>
          </w:p>
        </w:tc>
        <w:tc>
          <w:tcPr>
            <w:tcW w:w="64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10.以“四办”工作为重点，在政务服务大厅设置“四办”工作政策咨询窗口，在一体化在线政务服务平台、政务服务大厅设置专栏（专区），全面准确公开政务服务事项、办事指南、办事流程、办事机构等信息。</w:t>
            </w:r>
          </w:p>
        </w:tc>
        <w:tc>
          <w:tcPr>
            <w:tcW w:w="301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市旗两级政务服务（行政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审批和政务服务）部门</w:t>
            </w:r>
          </w:p>
        </w:tc>
        <w:tc>
          <w:tcPr>
            <w:tcW w:w="176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2021年6月底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95" w:hRule="atLeast"/>
        </w:trPr>
        <w:tc>
          <w:tcPr>
            <w:tcW w:w="167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bdr w:val="none" w:color="auto" w:sz="0" w:space="0"/>
                <w:lang w:val="en-US" w:eastAsia="zh-CN" w:bidi="ar"/>
              </w:rPr>
              <w:t>（五）强化财政信息公开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bdr w:val="none" w:color="auto" w:sz="0" w:space="0"/>
                <w:lang w:val="en-US" w:eastAsia="zh-CN" w:bidi="ar"/>
              </w:rPr>
              <w:t>（五）强化财政信息公开</w:t>
            </w:r>
          </w:p>
        </w:tc>
        <w:tc>
          <w:tcPr>
            <w:tcW w:w="64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11.进一步规范财政预决算和“三公”经费信息公开工作，推进部门所属单位预算、决算及相关报表公开。</w:t>
            </w:r>
          </w:p>
        </w:tc>
        <w:tc>
          <w:tcPr>
            <w:tcW w:w="301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旗县（市、区）政府、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开发区管委会；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市政府各部门及所属单位</w:t>
            </w:r>
          </w:p>
        </w:tc>
        <w:tc>
          <w:tcPr>
            <w:tcW w:w="1766"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全年持续推进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全年持续推进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22" w:hRule="atLeast"/>
        </w:trPr>
        <w:tc>
          <w:tcPr>
            <w:tcW w:w="167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continue"/>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64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12.做好行政事业性收费目录清单公开工作，目录清单中收费事项依据和标准应做到应公开尽公开。</w:t>
            </w:r>
          </w:p>
        </w:tc>
        <w:tc>
          <w:tcPr>
            <w:tcW w:w="3017"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旗县（市、区）政府、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开发区管委会；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市财政局</w:t>
            </w:r>
          </w:p>
        </w:tc>
        <w:tc>
          <w:tcPr>
            <w:tcW w:w="1766" w:type="dxa"/>
            <w:vMerge w:val="continue"/>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60" w:hRule="atLeast"/>
        </w:trPr>
        <w:tc>
          <w:tcPr>
            <w:tcW w:w="167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continue"/>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64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13.做好惠民惠农惠牧直达资金分配使用情况公开，对社会反映的情况及时回应并整改。</w:t>
            </w:r>
          </w:p>
        </w:tc>
        <w:tc>
          <w:tcPr>
            <w:tcW w:w="3017" w:type="dxa"/>
            <w:vMerge w:val="continue"/>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766" w:type="dxa"/>
            <w:vMerge w:val="continue"/>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50" w:hRule="atLeast"/>
        </w:trPr>
        <w:tc>
          <w:tcPr>
            <w:tcW w:w="167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bdr w:val="none" w:color="auto" w:sz="0" w:space="0"/>
                <w:lang w:val="en-US" w:eastAsia="zh-CN" w:bidi="ar"/>
              </w:rPr>
              <w:t>（六）持续做好常态化疫情防控信息公开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bdr w:val="none" w:color="auto" w:sz="0" w:space="0"/>
                <w:lang w:val="en-US" w:eastAsia="zh-CN" w:bidi="ar"/>
              </w:rPr>
              <w:t>（六）持续做好常态化疫情防控信息公开</w:t>
            </w:r>
          </w:p>
        </w:tc>
        <w:tc>
          <w:tcPr>
            <w:tcW w:w="64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14.重点做好散发疫情、隔离管控、流调溯源、精准防控、冷链物流、假期人员流动等方面的信息公开工作，扎实做好疫苗接种信息公开和舆论引导工作，提高新冠肺炎疫情防控信息发布规范化水平，强化政府系统内部信息整合，统一步调对外发声。</w:t>
            </w:r>
          </w:p>
        </w:tc>
        <w:tc>
          <w:tcPr>
            <w:tcW w:w="301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旗县（市、区）政府、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开发区管委会；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市政府办公室、卫健、交通、公安、市场监管、住建、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人社、财政、民政、教育、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商务、文旅等有关部门</w:t>
            </w:r>
          </w:p>
        </w:tc>
        <w:tc>
          <w:tcPr>
            <w:tcW w:w="176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全年持续推进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50" w:hRule="atLeast"/>
        </w:trPr>
        <w:tc>
          <w:tcPr>
            <w:tcW w:w="167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continue"/>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64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15.做好爱国卫生运动、健康通辽行动等相关工作的信息公开，大力开展健康科普宣传。</w:t>
            </w:r>
          </w:p>
        </w:tc>
        <w:tc>
          <w:tcPr>
            <w:tcW w:w="301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旗县（市、区）政府、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开发区管委会；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市卫健委</w:t>
            </w:r>
          </w:p>
        </w:tc>
        <w:tc>
          <w:tcPr>
            <w:tcW w:w="176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全年持续推进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05" w:hRule="atLeast"/>
        </w:trPr>
        <w:tc>
          <w:tcPr>
            <w:tcW w:w="1675"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二、紧扣政策落地见效，深化解读回应工作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二、紧扣政策落地见效，深化解读回应工作</w:t>
            </w:r>
          </w:p>
        </w:tc>
        <w:tc>
          <w:tcPr>
            <w:tcW w:w="155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bdr w:val="none" w:color="auto" w:sz="0" w:space="0"/>
                <w:lang w:val="en-US" w:eastAsia="zh-CN" w:bidi="ar"/>
              </w:rPr>
              <w:t>（一）突出解读回应重点</w:t>
            </w:r>
          </w:p>
        </w:tc>
        <w:tc>
          <w:tcPr>
            <w:tcW w:w="64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16.贯彻落实市委五届十一次全委会议暨全市经济工作会议精神和《政府工作报告》各项任务，及时发布权威信息，深入开展解读回应工作，有效引导社会预期。</w:t>
            </w:r>
          </w:p>
        </w:tc>
        <w:tc>
          <w:tcPr>
            <w:tcW w:w="301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旗县（市、区）政府、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开发区管委会；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市政府各部门</w:t>
            </w:r>
          </w:p>
        </w:tc>
        <w:tc>
          <w:tcPr>
            <w:tcW w:w="176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全年持续推进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809" w:hRule="atLeast"/>
        </w:trPr>
        <w:tc>
          <w:tcPr>
            <w:tcW w:w="167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bdr w:val="none" w:color="auto" w:sz="0" w:space="0"/>
                <w:lang w:val="en-US" w:eastAsia="zh-CN" w:bidi="ar"/>
              </w:rPr>
              <w:t>（二）提升解读回应效果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bdr w:val="none" w:color="auto" w:sz="0" w:space="0"/>
                <w:lang w:val="en-US" w:eastAsia="zh-CN" w:bidi="ar"/>
              </w:rPr>
              <w:t>（二）提升解读回应效果</w:t>
            </w:r>
          </w:p>
        </w:tc>
        <w:tc>
          <w:tcPr>
            <w:tcW w:w="64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17.综合运用新闻发布会、政策例行吹风会、行风热线、图示图解、场景演示、卡通动漫、专家访谈、短视频等多元化解读形式，增强政策传播效果。更加注重对政策背景、出台目的、重要举措等方面的实质性解读，全面提升解读工作质效。</w:t>
            </w:r>
          </w:p>
        </w:tc>
        <w:tc>
          <w:tcPr>
            <w:tcW w:w="301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旗县（市、区）政府、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开发区管委会；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市政府各部门</w:t>
            </w:r>
          </w:p>
        </w:tc>
        <w:tc>
          <w:tcPr>
            <w:tcW w:w="176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全年持续推进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800" w:hRule="atLeast"/>
        </w:trPr>
        <w:tc>
          <w:tcPr>
            <w:tcW w:w="167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continue"/>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64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18.发挥12345市民服务热线在回应关切和政民互动方面的作用，探索建立“政策专员”工作机制，围绕政策的落地见效，梳理细化政策执行标准、执行范围、落实内容，针对企业和群众的关注关切，确定政策咨询的答复口径，建立并及时更新政策知识库，推进回应互动“一号答”。</w:t>
            </w:r>
          </w:p>
        </w:tc>
        <w:tc>
          <w:tcPr>
            <w:tcW w:w="301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市行政审批和政务服务局牵头、市旗两级政府职能部门提供相关内容</w:t>
            </w:r>
          </w:p>
        </w:tc>
        <w:tc>
          <w:tcPr>
            <w:tcW w:w="176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2021年12月底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20" w:hRule="atLeast"/>
        </w:trPr>
        <w:tc>
          <w:tcPr>
            <w:tcW w:w="167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continue"/>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64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19.针对政策实施过程中产生的新情况、新问题，文件起草单位要开展二次解读、跟踪解读，鼓励文件起草单位同步公开解读机构、解读人、联系电话等，推动解读回应扁平化。</w:t>
            </w:r>
          </w:p>
        </w:tc>
        <w:tc>
          <w:tcPr>
            <w:tcW w:w="301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旗县（市、区）政府、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开发区管委会；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市级政策文件起草部门</w:t>
            </w:r>
          </w:p>
        </w:tc>
        <w:tc>
          <w:tcPr>
            <w:tcW w:w="176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全年持续推进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10" w:hRule="atLeast"/>
        </w:trPr>
        <w:tc>
          <w:tcPr>
            <w:tcW w:w="167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bdr w:val="none" w:color="auto" w:sz="0" w:space="0"/>
                <w:lang w:val="en-US" w:eastAsia="zh-CN" w:bidi="ar"/>
              </w:rPr>
              <w:t>（三）有效推动公众参与</w:t>
            </w:r>
          </w:p>
        </w:tc>
        <w:tc>
          <w:tcPr>
            <w:tcW w:w="64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20.严格落实通辽市重大行政决策程序有关规定，通过座谈会、听证会、实地走访、书面征求意见、向社会公开征求意见、问卷调查、民意调查等多种方式进一步扩大公众参与范围。</w:t>
            </w:r>
          </w:p>
        </w:tc>
        <w:tc>
          <w:tcPr>
            <w:tcW w:w="301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旗县（市、区）政府、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开发区管委会；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市政府各部门</w:t>
            </w:r>
          </w:p>
        </w:tc>
        <w:tc>
          <w:tcPr>
            <w:tcW w:w="176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全年持续推进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521" w:hRule="atLeast"/>
        </w:trPr>
        <w:tc>
          <w:tcPr>
            <w:tcW w:w="167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continue"/>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64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21.对社会公众普遍关心或专业性、技术性较强的重大行政决策征求意见及采纳情况应在政府网站进行公开；对公众意见较为集中的问题，及时通过新闻发布会、访谈等方式进行宣传解读。</w:t>
            </w:r>
          </w:p>
        </w:tc>
        <w:tc>
          <w:tcPr>
            <w:tcW w:w="301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旗县（市、区）政府、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开发区管委会；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市政府各部门</w:t>
            </w:r>
          </w:p>
        </w:tc>
        <w:tc>
          <w:tcPr>
            <w:tcW w:w="176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全年持续推进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65" w:hRule="atLeast"/>
        </w:trPr>
        <w:tc>
          <w:tcPr>
            <w:tcW w:w="1675"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三、紧扣公开载体管理，强化平台矩阵建设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both"/>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三、紧扣公开载体管理，强化平台矩阵建设</w:t>
            </w:r>
          </w:p>
        </w:tc>
        <w:tc>
          <w:tcPr>
            <w:tcW w:w="1550"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bdr w:val="none" w:color="auto" w:sz="0" w:space="0"/>
                <w:lang w:val="en-US" w:eastAsia="zh-CN" w:bidi="ar"/>
              </w:rPr>
              <w:t>（一）助推政府网站向优向好发展</w:t>
            </w:r>
          </w:p>
        </w:tc>
        <w:tc>
          <w:tcPr>
            <w:tcW w:w="64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22.全面推行政府网站集约化建设。依托电子政务外网，将市政府组成部门网站全部迁移至本级集约化平台。</w:t>
            </w:r>
          </w:p>
        </w:tc>
        <w:tc>
          <w:tcPr>
            <w:tcW w:w="3017"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市行政审批和政务服务局牵头，市本级已开设政府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网站的部门配合</w:t>
            </w:r>
          </w:p>
        </w:tc>
        <w:tc>
          <w:tcPr>
            <w:tcW w:w="1766"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2021年9月底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797" w:hRule="atLeast"/>
        </w:trPr>
        <w:tc>
          <w:tcPr>
            <w:tcW w:w="167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continue"/>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64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23.制定通辽市政府网站建设规范、政府网站集约化平台和统一信息资源库建设规范等标准规范，把政府网站作为汇聚政府网上数据、提供政府线上服务、助力政府网络治理提升的规范入口和重要抓手，推动更多政务服务事项网上办、掌上办、一次办，实现一网通查、一网通答、一网通办、一网通管。</w:t>
            </w:r>
          </w:p>
        </w:tc>
        <w:tc>
          <w:tcPr>
            <w:tcW w:w="3017" w:type="dxa"/>
            <w:vMerge w:val="continue"/>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766" w:type="dxa"/>
            <w:vMerge w:val="continue"/>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62" w:hRule="atLeast"/>
        </w:trPr>
        <w:tc>
          <w:tcPr>
            <w:tcW w:w="167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continue"/>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64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24.做好蒙古文政务网站管理建设工作。</w:t>
            </w:r>
          </w:p>
        </w:tc>
        <w:tc>
          <w:tcPr>
            <w:tcW w:w="301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市旗两级蒙古文政务网站主管部门</w:t>
            </w:r>
          </w:p>
        </w:tc>
        <w:tc>
          <w:tcPr>
            <w:tcW w:w="176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全年持续推进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820" w:hRule="atLeast"/>
        </w:trPr>
        <w:tc>
          <w:tcPr>
            <w:tcW w:w="167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bdr w:val="none" w:color="auto" w:sz="0" w:space="0"/>
                <w:lang w:val="en-US" w:eastAsia="zh-CN" w:bidi="ar"/>
              </w:rPr>
              <w:t>（二）做好政府公报编印工作</w:t>
            </w:r>
          </w:p>
        </w:tc>
        <w:tc>
          <w:tcPr>
            <w:tcW w:w="64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25.已创刊政府公报的地区要创新工作方式方法，加大政府公报刊登政策解读、部门文件的权重，做好重大建设项目批准和实施、公共资源配置、社会公益事业等领域政府信息公开，不断丰富栏目内容；未创刊政府公报的地区要加大工作力度，出刊纸质版政府公报，确有困难的，可先行创刊电子版政府公报，待条件成熟后再创刊纸质版。</w:t>
            </w:r>
          </w:p>
        </w:tc>
        <w:tc>
          <w:tcPr>
            <w:tcW w:w="301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市旗两级政府办公室</w:t>
            </w:r>
          </w:p>
        </w:tc>
        <w:tc>
          <w:tcPr>
            <w:tcW w:w="176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全年持续推进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0" w:hRule="atLeast"/>
        </w:trPr>
        <w:tc>
          <w:tcPr>
            <w:tcW w:w="167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bdr w:val="none" w:color="auto" w:sz="0" w:space="0"/>
                <w:lang w:val="en-US" w:eastAsia="zh-CN" w:bidi="ar"/>
              </w:rPr>
              <w:t>（三）规范全市政务新媒体管理</w:t>
            </w:r>
          </w:p>
        </w:tc>
        <w:tc>
          <w:tcPr>
            <w:tcW w:w="64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26.各地区政务新媒体主管部门要建立健全备案管理制度，完善开办关停等机制，“摸清家底”、“做好管家”，有序开展清理整合。</w:t>
            </w:r>
          </w:p>
        </w:tc>
        <w:tc>
          <w:tcPr>
            <w:tcW w:w="301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市旗两级政府办公室牵头，市旗两级政务服务（行政审批和政务服务）部门配合</w:t>
            </w:r>
          </w:p>
        </w:tc>
        <w:tc>
          <w:tcPr>
            <w:tcW w:w="176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2021年9月底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81" w:hRule="atLeast"/>
        </w:trPr>
        <w:tc>
          <w:tcPr>
            <w:tcW w:w="167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bdr w:val="none" w:color="auto" w:sz="0" w:space="0"/>
                <w:lang w:val="en-US" w:eastAsia="zh-CN" w:bidi="ar"/>
              </w:rPr>
              <w:t>（四）推广使用“蒙速办”移动政务服务平台</w:t>
            </w:r>
          </w:p>
        </w:tc>
        <w:tc>
          <w:tcPr>
            <w:tcW w:w="64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27.将内蒙古政务服务网和“蒙速办”移动政务服务平台作为全区一体化在线服务平台的总门户、总枢纽，把分散在众多部门、国有企事业单位的网上办事服务入口，特别是覆盖多级政府部门、国有企事业单位主管的高频应用集成到内蒙古政务服务网及“蒙速办”移动端。</w:t>
            </w:r>
          </w:p>
        </w:tc>
        <w:tc>
          <w:tcPr>
            <w:tcW w:w="301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市旗两级政务服务（行政审批和政务服务）部门牵头，市旗两级政府各部门配合</w:t>
            </w:r>
          </w:p>
        </w:tc>
        <w:tc>
          <w:tcPr>
            <w:tcW w:w="176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全年持续推进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0" w:hRule="atLeast"/>
        </w:trPr>
        <w:tc>
          <w:tcPr>
            <w:tcW w:w="1675"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br w:type="textWrapping"/>
            </w:r>
            <w:r>
              <w:rPr>
                <w:rFonts w:hint="eastAsia" w:ascii="宋体" w:hAnsi="宋体" w:eastAsia="宋体" w:cs="宋体"/>
                <w:i w:val="0"/>
                <w:iCs w:val="0"/>
                <w:kern w:val="0"/>
                <w:sz w:val="21"/>
                <w:szCs w:val="21"/>
                <w:u w:val="none"/>
                <w:bdr w:val="none" w:color="auto" w:sz="0" w:space="0"/>
                <w:lang w:val="en-US" w:eastAsia="zh-CN" w:bidi="ar"/>
              </w:rPr>
              <w:t>四、紧扣夯实工作基础，深化标准化规范化工作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tc>
        <w:tc>
          <w:tcPr>
            <w:tcW w:w="1550"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bdr w:val="none" w:color="auto" w:sz="0" w:space="0"/>
                <w:lang w:val="en-US" w:eastAsia="zh-CN" w:bidi="ar"/>
              </w:rPr>
              <w:t>（一）推动法定主动公开内容规范化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rPr>
                <w:rFonts w:hint="eastAsia" w:ascii="宋体" w:hAnsi="宋体" w:eastAsia="宋体" w:cs="宋体"/>
                <w:sz w:val="21"/>
                <w:szCs w:val="21"/>
                <w:u w:val="none"/>
              </w:rPr>
            </w:pPr>
          </w:p>
        </w:tc>
        <w:tc>
          <w:tcPr>
            <w:tcW w:w="64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28.按照《政府信息公开条例》第二十条明确的法定主动公开内容，分类公开好有关信息。</w:t>
            </w:r>
          </w:p>
        </w:tc>
        <w:tc>
          <w:tcPr>
            <w:tcW w:w="3017"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旗县（市、区）政府、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开发区管委会；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市政府各部门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p>
        </w:tc>
        <w:tc>
          <w:tcPr>
            <w:tcW w:w="1766"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2021年8月底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82" w:hRule="atLeast"/>
        </w:trPr>
        <w:tc>
          <w:tcPr>
            <w:tcW w:w="167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continue"/>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64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29.鼓励各地各部门加强政府网站“政府信息公开”栏目建设，持续完善“政策文件库”，推动政策措施“一网通查”。</w:t>
            </w:r>
          </w:p>
        </w:tc>
        <w:tc>
          <w:tcPr>
            <w:tcW w:w="3017" w:type="dxa"/>
            <w:vMerge w:val="continue"/>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766" w:type="dxa"/>
            <w:vMerge w:val="continue"/>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10" w:hRule="atLeast"/>
        </w:trPr>
        <w:tc>
          <w:tcPr>
            <w:tcW w:w="167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continue"/>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64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30.政府信息原则上要按照文字形式展现，提供电子版和影印版在内的多样化下载服务；规范政府信息公开细览页面展示内容，及时更新主题分类、发布机构、文号、成文日期、公文时效等核心单元数据。</w:t>
            </w:r>
          </w:p>
        </w:tc>
        <w:tc>
          <w:tcPr>
            <w:tcW w:w="3017" w:type="dxa"/>
            <w:vMerge w:val="continue"/>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766" w:type="dxa"/>
            <w:vMerge w:val="continue"/>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75" w:hRule="atLeast"/>
        </w:trPr>
        <w:tc>
          <w:tcPr>
            <w:tcW w:w="167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bdr w:val="none" w:color="auto" w:sz="0" w:space="0"/>
                <w:lang w:val="en-US" w:eastAsia="zh-CN" w:bidi="ar"/>
              </w:rPr>
              <w:t>（二）推动政府信息依申请公开标准化</w:t>
            </w:r>
          </w:p>
        </w:tc>
        <w:tc>
          <w:tcPr>
            <w:tcW w:w="64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31.做好政府信息依申请公开工作，对被提起行政复议和行政诉讼的政府信息公开申请案件，要及时向本级政府信息公开工作主管部门备案。</w:t>
            </w:r>
          </w:p>
        </w:tc>
        <w:tc>
          <w:tcPr>
            <w:tcW w:w="3017"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旗县（市、区）政府、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开发区管委会；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市政府各部门</w:t>
            </w:r>
          </w:p>
        </w:tc>
        <w:tc>
          <w:tcPr>
            <w:tcW w:w="176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2021年12月底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62" w:hRule="atLeast"/>
        </w:trPr>
        <w:tc>
          <w:tcPr>
            <w:tcW w:w="167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continue"/>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64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32.适时做好自治区政府系统政府信息依申请公开平台推广使用工作，规范各地各部门政府信息依申请公开工作，推动实现政府信息公开申请“一网通办”。</w:t>
            </w:r>
          </w:p>
        </w:tc>
        <w:tc>
          <w:tcPr>
            <w:tcW w:w="3017" w:type="dxa"/>
            <w:vMerge w:val="continue"/>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76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适时推进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20" w:hRule="atLeast"/>
        </w:trPr>
        <w:tc>
          <w:tcPr>
            <w:tcW w:w="167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bdr w:val="none" w:color="auto" w:sz="0" w:space="0"/>
                <w:lang w:val="en-US" w:eastAsia="zh-CN" w:bidi="ar"/>
              </w:rPr>
              <w:t>（三）推动政务公开地方标准和配套制度的推广试用</w:t>
            </w:r>
          </w:p>
        </w:tc>
        <w:tc>
          <w:tcPr>
            <w:tcW w:w="64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33.推广试用内蒙古自治区政府信息公开地方标准，落实好《通辽市政府信息公开相关配套制度》各项要求。</w:t>
            </w:r>
          </w:p>
        </w:tc>
        <w:tc>
          <w:tcPr>
            <w:tcW w:w="301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旗县（市、区）政府、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开发区管委会；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市政府各部门</w:t>
            </w:r>
          </w:p>
        </w:tc>
        <w:tc>
          <w:tcPr>
            <w:tcW w:w="176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全年持续推进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97" w:hRule="atLeast"/>
        </w:trPr>
        <w:tc>
          <w:tcPr>
            <w:tcW w:w="167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b/>
                <w:bCs/>
                <w:i w:val="0"/>
                <w:iCs w:val="0"/>
                <w:kern w:val="0"/>
                <w:sz w:val="21"/>
                <w:szCs w:val="21"/>
                <w:u w:val="none"/>
                <w:bdr w:val="none" w:color="auto" w:sz="0" w:space="0"/>
                <w:lang w:val="en-US" w:eastAsia="zh-CN" w:bidi="ar"/>
              </w:rPr>
              <w:t>（四）推动政务公开标准化规范化工作</w:t>
            </w:r>
          </w:p>
        </w:tc>
        <w:tc>
          <w:tcPr>
            <w:tcW w:w="64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34.对2020年度工作完成情况进行“回头看”，对建设标准规范的政务公开平台矩阵、加强与政务服务的融合发展、完善基层行政决策公众参与机制等本年度需要完成的重点任务进行再部署、再推进。</w:t>
            </w:r>
          </w:p>
        </w:tc>
        <w:tc>
          <w:tcPr>
            <w:tcW w:w="301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市旗两级政务公开主管部门牵头，市旗两级政府有关部门配合</w:t>
            </w:r>
          </w:p>
        </w:tc>
        <w:tc>
          <w:tcPr>
            <w:tcW w:w="176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2021年6月底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57" w:hRule="atLeast"/>
        </w:trPr>
        <w:tc>
          <w:tcPr>
            <w:tcW w:w="167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continue"/>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64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35.国务院确定的26个基层政务公开试点领域的市级对口部门要对80%的基层政府相关领域工作推进情况进行抽查调度，并将抽查调度情况报送至市政务公开工作主管部门。</w:t>
            </w:r>
          </w:p>
        </w:tc>
        <w:tc>
          <w:tcPr>
            <w:tcW w:w="3017"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市住建、发改、财政、市场监管、税务、自然资源、生态环境、文旅、司法、乡村振兴、应急管理、卫健、人社、医保、公安、民政、教育、行政审批和政务服务等有关部门</w:t>
            </w:r>
          </w:p>
        </w:tc>
        <w:tc>
          <w:tcPr>
            <w:tcW w:w="1766"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2021年10月底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center"/>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8" w:hRule="atLeast"/>
        </w:trPr>
        <w:tc>
          <w:tcPr>
            <w:tcW w:w="1675"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550" w:type="dxa"/>
            <w:vMerge w:val="continue"/>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643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textAlignment w:val="center"/>
              <w:rPr>
                <w:rFonts w:hint="eastAsia" w:ascii="宋体" w:hAnsi="宋体" w:eastAsia="宋体" w:cs="宋体"/>
                <w:sz w:val="21"/>
                <w:szCs w:val="21"/>
                <w:u w:val="none"/>
              </w:rPr>
            </w:pPr>
            <w:r>
              <w:rPr>
                <w:rFonts w:hint="eastAsia" w:ascii="宋体" w:hAnsi="宋体" w:eastAsia="宋体" w:cs="宋体"/>
                <w:i w:val="0"/>
                <w:iCs w:val="0"/>
                <w:kern w:val="0"/>
                <w:sz w:val="21"/>
                <w:szCs w:val="21"/>
                <w:u w:val="none"/>
                <w:bdr w:val="none" w:color="auto" w:sz="0" w:space="0"/>
                <w:lang w:val="en-US" w:eastAsia="zh-CN" w:bidi="ar"/>
              </w:rPr>
              <w:t>36.国务院确定的26个基层政务公开试点领域的市级对口部门要结合权责清单和公共服务事项清单，启动本部门政务公开标准目录编制工作。</w:t>
            </w:r>
          </w:p>
        </w:tc>
        <w:tc>
          <w:tcPr>
            <w:tcW w:w="3017" w:type="dxa"/>
            <w:vMerge w:val="continue"/>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c>
          <w:tcPr>
            <w:tcW w:w="1766" w:type="dxa"/>
            <w:vMerge w:val="continue"/>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u w:val="none"/>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40" w:lineRule="exact"/>
        <w:ind w:left="0" w:right="0"/>
        <w:jc w:val="left"/>
        <w:rPr>
          <w:rFonts w:hint="eastAsia" w:ascii="宋体" w:hAnsi="宋体" w:eastAsia="宋体" w:cs="宋体"/>
          <w:sz w:val="21"/>
          <w:szCs w:val="21"/>
          <w:u w:val="none"/>
        </w:rPr>
      </w:pPr>
      <w:r>
        <w:rPr>
          <w:rFonts w:hint="eastAsia" w:ascii="宋体" w:hAnsi="宋体" w:eastAsia="宋体" w:cs="宋体"/>
          <w:i w:val="0"/>
          <w:iCs w:val="0"/>
          <w:caps w:val="0"/>
          <w:color w:val="333333"/>
          <w:spacing w:val="0"/>
          <w:kern w:val="0"/>
          <w:sz w:val="21"/>
          <w:szCs w:val="21"/>
          <w:u w:val="none"/>
          <w:bdr w:val="none" w:color="auto" w:sz="0" w:space="0"/>
          <w:shd w:val="clear" w:fill="FFFFFF"/>
          <w:lang w:val="en-US" w:eastAsia="zh-CN" w:bidi="ar"/>
        </w:rPr>
        <w:t> </w:t>
      </w:r>
    </w:p>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 w:val="21"/>
          <w:szCs w:val="21"/>
        </w:rPr>
      </w:pPr>
    </w:p>
    <w:sectPr>
      <w:pgSz w:w="16838" w:h="11906" w:orient="landscape"/>
      <w:pgMar w:top="129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A0485"/>
    <w:rsid w:val="53BA0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2021-12-15T01:05:00Z</dcterms:created>
  <dc:creator>。。。</dc:creator>
  <cp:lastModifiedBy>。。。</cp:lastModifiedBy>
  <dcterms:modified xsi:type="dcterms:W3CDTF">2021-12-15T01:37:36Z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6D0D758A4F1B4BF489B55A9C1C8E0B61</vt:lpwstr>
  </property>
</Properties>
</file>