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hAnsi="仿宋" w:eastAsia="方正小标宋简体" w:cs="仿宋"/>
          <w:b/>
          <w:sz w:val="44"/>
          <w:szCs w:val="44"/>
        </w:rPr>
      </w:pPr>
      <w:r>
        <w:rPr>
          <w:rFonts w:hint="eastAsia" w:ascii="方正小标宋简体" w:hAnsi="仿宋" w:eastAsia="方正小标宋简体" w:cs="仿宋"/>
          <w:b/>
          <w:sz w:val="44"/>
          <w:szCs w:val="44"/>
        </w:rPr>
        <w:t>关于加强卫生</w:t>
      </w:r>
      <w:r>
        <w:rPr>
          <w:rFonts w:hint="eastAsia" w:ascii="方正小标宋简体" w:hAnsi="仿宋" w:eastAsia="方正小标宋简体" w:cs="仿宋"/>
          <w:b/>
          <w:sz w:val="44"/>
          <w:szCs w:val="44"/>
          <w:lang w:eastAsia="zh-CN"/>
        </w:rPr>
        <w:t>健康</w:t>
      </w:r>
      <w:r>
        <w:rPr>
          <w:rFonts w:hint="eastAsia" w:ascii="方正小标宋简体" w:hAnsi="仿宋" w:eastAsia="方正小标宋简体" w:cs="仿宋"/>
          <w:b/>
          <w:sz w:val="44"/>
          <w:szCs w:val="44"/>
        </w:rPr>
        <w:t>行政许可</w:t>
      </w:r>
    </w:p>
    <w:p>
      <w:pPr>
        <w:spacing w:line="560" w:lineRule="exact"/>
        <w:jc w:val="center"/>
        <w:rPr>
          <w:rFonts w:ascii="方正小标宋简体" w:hAnsi="仿宋" w:eastAsia="方正小标宋简体" w:cs="仿宋"/>
          <w:b/>
          <w:sz w:val="44"/>
          <w:szCs w:val="44"/>
        </w:rPr>
      </w:pPr>
      <w:r>
        <w:rPr>
          <w:rFonts w:hint="eastAsia" w:ascii="方正小标宋简体" w:hAnsi="仿宋" w:eastAsia="方正小标宋简体" w:cs="仿宋"/>
          <w:b/>
          <w:sz w:val="44"/>
          <w:szCs w:val="44"/>
        </w:rPr>
        <w:t>事中事后监管的通知</w:t>
      </w:r>
    </w:p>
    <w:p>
      <w:pPr>
        <w:spacing w:line="560" w:lineRule="exact"/>
        <w:rPr>
          <w:rFonts w:ascii="仿宋_GB2312" w:hAnsi="仿宋" w:cs="仿宋"/>
          <w:szCs w:val="32"/>
        </w:rPr>
      </w:pPr>
      <w:r>
        <w:rPr>
          <w:rFonts w:hint="eastAsia" w:ascii="仿宋_GB2312" w:hAnsi="仿宋" w:cs="仿宋"/>
          <w:szCs w:val="32"/>
        </w:rPr>
        <w:t>委相关股室、卫生健康综合行政执法大队：</w:t>
      </w:r>
    </w:p>
    <w:p>
      <w:pPr>
        <w:ind w:firstLine="640" w:firstLineChars="200"/>
        <w:rPr>
          <w:rFonts w:ascii="仿宋_GB2312" w:hAnsi="仿宋_GB2312" w:cs="仿宋_GB2312"/>
          <w:szCs w:val="32"/>
        </w:rPr>
      </w:pPr>
      <w:r>
        <w:rPr>
          <w:rFonts w:hint="eastAsia" w:ascii="仿宋_GB2312" w:hAnsi="仿宋_GB2312" w:cs="仿宋_GB2312"/>
          <w:szCs w:val="32"/>
        </w:rPr>
        <w:t>为优化营商环境，根据</w:t>
      </w:r>
      <w:r>
        <w:rPr>
          <w:rFonts w:hint="eastAsia"/>
        </w:rPr>
        <w:t>《中华人民共和国行政许可法》《国务院关于加强和规范事中事后监管的指导意见》国发（2</w:t>
      </w:r>
      <w:r>
        <w:t>019</w:t>
      </w:r>
      <w:r>
        <w:rPr>
          <w:rFonts w:hint="eastAsia"/>
        </w:rPr>
        <w:t>）1</w:t>
      </w:r>
      <w:r>
        <w:t>8</w:t>
      </w:r>
      <w:r>
        <w:rPr>
          <w:rFonts w:hint="eastAsia"/>
        </w:rPr>
        <w:t>号，《优化营商环境条例》，</w:t>
      </w:r>
      <w:r>
        <w:rPr>
          <w:rFonts w:hint="eastAsia" w:ascii="仿宋_GB2312" w:hAnsi="仿宋_GB2312" w:cs="仿宋_GB2312"/>
          <w:szCs w:val="32"/>
        </w:rPr>
        <w:t>《内蒙古自治区卫生健康委员会办公室关于落实医疗领域“证照分离”改革措施的通知》(内卫办医发〔2021〕127号)、《奈曼旗人民政府办公室关于切实做好政务服务事项动态调整和管理工作的通知》（〔2021〕76号）等文件精神，</w:t>
      </w:r>
      <w:r>
        <w:rPr>
          <w:rFonts w:hint="eastAsia" w:ascii="仿宋_GB2312" w:hAnsi="仿宋_GB2312" w:cs="仿宋_GB2312"/>
          <w:color w:val="000000"/>
          <w:szCs w:val="32"/>
          <w:shd w:val="clear" w:color="auto" w:fill="FFFFFF"/>
        </w:rPr>
        <w:t>做好审批和监管的有效衔接，避免出现监管真空，根据实际情况</w:t>
      </w:r>
      <w:r>
        <w:rPr>
          <w:rFonts w:hint="eastAsia" w:ascii="仿宋_GB2312" w:hAnsi="仿宋_GB2312" w:cs="仿宋_GB2312"/>
          <w:szCs w:val="32"/>
        </w:rPr>
        <w:t xml:space="preserve">，现就加强卫生健康行政许可事后监管要求如下： </w:t>
      </w:r>
    </w:p>
    <w:p>
      <w:pPr>
        <w:pStyle w:val="9"/>
        <w:numPr>
          <w:ilvl w:val="0"/>
          <w:numId w:val="0"/>
        </w:numPr>
        <w:ind w:leftChars="0" w:firstLine="321" w:firstLineChars="100"/>
        <w:rPr>
          <w:b/>
          <w:bCs/>
        </w:rPr>
      </w:pPr>
      <w:r>
        <w:rPr>
          <w:rFonts w:hint="eastAsia"/>
          <w:b/>
          <w:bCs/>
          <w:lang w:eastAsia="zh-CN"/>
        </w:rPr>
        <w:t>一、</w:t>
      </w:r>
      <w:r>
        <w:rPr>
          <w:rFonts w:hint="eastAsia"/>
          <w:b/>
          <w:bCs/>
        </w:rPr>
        <w:t>基本原则</w:t>
      </w:r>
    </w:p>
    <w:p>
      <w:r>
        <w:rPr>
          <w:rFonts w:hint="eastAsia"/>
          <w:b/>
          <w:bCs/>
        </w:rPr>
        <w:t>（一）坚持依法依规。</w:t>
      </w:r>
      <w:r>
        <w:rPr>
          <w:rFonts w:hint="eastAsia"/>
        </w:rPr>
        <w:t>严格执行有关法律法规规定，厘清监管职责，明确监管责任，做到法无授权不可为，法定职责必须为。</w:t>
      </w:r>
    </w:p>
    <w:p>
      <w:r>
        <w:rPr>
          <w:rFonts w:hint="eastAsia"/>
          <w:b/>
          <w:bCs/>
        </w:rPr>
        <w:t>（二）坚持公开公平。</w:t>
      </w:r>
      <w:r>
        <w:rPr>
          <w:rFonts w:hint="eastAsia"/>
        </w:rPr>
        <w:t>将监管信息纳入卫生健康系统政务公开工作要点，依法及时公开，保障卫生健康领域市场主体权利平等、机会平等、规则平等，促进相关产业规范有序发展。</w:t>
      </w:r>
    </w:p>
    <w:p>
      <w:r>
        <w:rPr>
          <w:rFonts w:hint="eastAsia"/>
          <w:b/>
          <w:bCs/>
        </w:rPr>
        <w:t>（三）坚持分级分类。</w:t>
      </w:r>
      <w:r>
        <w:rPr>
          <w:rFonts w:hint="eastAsia"/>
        </w:rPr>
        <w:t>健全卫生健康领域市场主体信用分级分类标准和差异化监管机制，根据不同行业特点及风险程度，合理确定监管内容、方式和频次，提升监管的精准性。</w:t>
      </w:r>
    </w:p>
    <w:p>
      <w:r>
        <w:rPr>
          <w:rFonts w:hint="eastAsia"/>
          <w:b/>
          <w:bCs/>
        </w:rPr>
        <w:t>（四）坚持包容审慎。</w:t>
      </w:r>
      <w:r>
        <w:rPr>
          <w:rFonts w:hint="eastAsia"/>
        </w:rPr>
        <w:t>按照诚信推定、信赖保护、宽严相济等法治原则，鼓励支持卫生健康新技术、新产业、新业态、新模式发展，合理引导、规范市场主体经营行为。</w:t>
      </w:r>
    </w:p>
    <w:p>
      <w:r>
        <w:rPr>
          <w:rFonts w:hint="eastAsia"/>
          <w:b/>
          <w:bCs/>
        </w:rPr>
        <w:t>（五）坚持科学高效。</w:t>
      </w:r>
      <w:r>
        <w:rPr>
          <w:rFonts w:hint="eastAsia"/>
        </w:rPr>
        <w:t>推进物联网、云计算、大数据、区块链、人工智能等技术应用，提升监管的科学性、精准性，实现监管效能最大化、监管成本最优化、经营干扰最小化。</w:t>
      </w:r>
    </w:p>
    <w:p>
      <w:r>
        <w:rPr>
          <w:rFonts w:hint="eastAsia"/>
          <w:b/>
          <w:bCs/>
        </w:rPr>
        <w:t>（六）坚持寓管于服</w:t>
      </w:r>
      <w:r>
        <w:rPr>
          <w:rFonts w:hint="eastAsia"/>
        </w:rPr>
        <w:t>。把管理融入服务之中，把执法与普法、惩戒与教育有机结合起来，落实全行业监管责任，以公正执法促进优胜劣汰，营造良好发展环境。</w:t>
      </w:r>
    </w:p>
    <w:p>
      <w:pPr>
        <w:pStyle w:val="9"/>
        <w:numPr>
          <w:ilvl w:val="0"/>
          <w:numId w:val="0"/>
        </w:numPr>
        <w:ind w:leftChars="0" w:firstLine="321" w:firstLineChars="100"/>
        <w:rPr>
          <w:rFonts w:ascii="仿宋_GB2312" w:hAnsi="仿宋_GB2312" w:cs="仿宋_GB2312"/>
          <w:b/>
          <w:bCs/>
          <w:szCs w:val="32"/>
        </w:rPr>
      </w:pPr>
      <w:r>
        <w:rPr>
          <w:rFonts w:hint="eastAsia" w:ascii="仿宋_GB2312" w:hAnsi="仿宋_GB2312" w:cs="仿宋_GB2312"/>
          <w:b/>
          <w:bCs/>
          <w:szCs w:val="32"/>
          <w:lang w:eastAsia="zh-CN"/>
        </w:rPr>
        <w:t>二、</w:t>
      </w:r>
      <w:r>
        <w:rPr>
          <w:rFonts w:hint="eastAsia" w:ascii="仿宋_GB2312" w:hAnsi="仿宋_GB2312" w:cs="仿宋_GB2312"/>
          <w:b/>
          <w:bCs/>
          <w:szCs w:val="32"/>
        </w:rPr>
        <w:t>主要任务</w:t>
      </w:r>
    </w:p>
    <w:p>
      <w:pPr>
        <w:spacing w:line="600" w:lineRule="auto"/>
        <w:rPr>
          <w:rFonts w:ascii="仿宋_GB2312" w:hAnsi="仿宋_GB2312" w:cs="仿宋_GB2312"/>
          <w:szCs w:val="32"/>
        </w:rPr>
      </w:pPr>
      <w:r>
        <w:rPr>
          <w:rFonts w:hint="eastAsia" w:ascii="仿宋_GB2312" w:hAnsi="仿宋_GB2312" w:cs="仿宋_GB2312"/>
          <w:b/>
          <w:bCs/>
          <w:szCs w:val="32"/>
        </w:rPr>
        <w:t>（一）做好审批和监管的有效衔接</w:t>
      </w:r>
      <w:r>
        <w:rPr>
          <w:rFonts w:hint="eastAsia" w:ascii="仿宋_GB2312" w:hAnsi="仿宋_GB2312" w:cs="仿宋_GB2312"/>
          <w:b/>
          <w:bCs/>
          <w:szCs w:val="32"/>
          <w:lang w:eastAsia="zh-CN"/>
        </w:rPr>
        <w:t>。</w:t>
      </w:r>
      <w:r>
        <w:rPr>
          <w:rFonts w:hint="eastAsia" w:ascii="仿宋_GB2312" w:hAnsi="仿宋_GB2312" w:cs="仿宋_GB2312"/>
          <w:szCs w:val="32"/>
        </w:rPr>
        <w:t>卫健委法监股负责与行政审批和政务服务局对接，及时将行政许可信息推送至</w:t>
      </w:r>
      <w:r>
        <w:rPr>
          <w:rFonts w:hint="eastAsia" w:ascii="仿宋_GB2312" w:hAnsi="仿宋_GB2312" w:cs="仿宋_GB2312"/>
          <w:color w:val="000000" w:themeColor="text1"/>
          <w:szCs w:val="32"/>
          <w14:textFill>
            <w14:solidFill>
              <w14:schemeClr w14:val="tx1"/>
            </w14:solidFill>
          </w14:textFill>
        </w:rPr>
        <w:t>委相关股室、</w:t>
      </w:r>
      <w:r>
        <w:rPr>
          <w:rFonts w:hint="eastAsia" w:ascii="仿宋_GB2312" w:hAnsi="仿宋_GB2312" w:cs="仿宋_GB2312"/>
          <w:szCs w:val="32"/>
        </w:rPr>
        <w:t>执法大队，做好审批与监管信息双告知工作；</w:t>
      </w:r>
    </w:p>
    <w:p>
      <w:pPr>
        <w:rPr>
          <w:rFonts w:ascii="仿宋_GB2312" w:hAnsi="仿宋_GB2312" w:cs="仿宋_GB2312"/>
          <w:szCs w:val="32"/>
        </w:rPr>
      </w:pPr>
      <w:r>
        <w:rPr>
          <w:rFonts w:hint="eastAsia" w:ascii="仿宋_GB2312" w:hAnsi="仿宋_GB2312" w:cs="仿宋_GB2312"/>
          <w:b/>
          <w:bCs/>
          <w:szCs w:val="32"/>
        </w:rPr>
        <w:t>（二）进行全覆盖核查</w:t>
      </w:r>
      <w:r>
        <w:rPr>
          <w:rFonts w:hint="eastAsia" w:ascii="仿宋_GB2312" w:hAnsi="仿宋_GB2312" w:cs="仿宋_GB2312"/>
          <w:b/>
          <w:bCs/>
          <w:szCs w:val="32"/>
          <w:lang w:eastAsia="zh-CN"/>
        </w:rPr>
        <w:t>。</w:t>
      </w:r>
      <w:r>
        <w:rPr>
          <w:rFonts w:hint="eastAsia" w:ascii="仿宋_GB2312" w:hAnsi="仿宋_GB2312" w:cs="仿宋_GB2312"/>
          <w:szCs w:val="32"/>
          <w:lang w:eastAsia="zh-CN"/>
        </w:rPr>
        <w:t>卫健</w:t>
      </w:r>
      <w:r>
        <w:rPr>
          <w:rFonts w:hint="eastAsia" w:ascii="仿宋_GB2312" w:hAnsi="仿宋_GB2312" w:cs="仿宋_GB2312"/>
          <w:color w:val="000000" w:themeColor="text1"/>
          <w:szCs w:val="32"/>
          <w14:textFill>
            <w14:solidFill>
              <w14:schemeClr w14:val="tx1"/>
            </w14:solidFill>
          </w14:textFill>
        </w:rPr>
        <w:t>委相关股室、</w:t>
      </w:r>
      <w:r>
        <w:rPr>
          <w:rFonts w:hint="eastAsia" w:ascii="仿宋_GB2312" w:hAnsi="仿宋_GB2312" w:cs="仿宋_GB2312"/>
          <w:szCs w:val="32"/>
        </w:rPr>
        <w:t>执法大队应当在接到法监股推送行政许可信息后的两个月内,对申请人的行政许可基本标准符合情况进行全覆盖核查;发现申请人实际经营情况与承诺</w:t>
      </w:r>
      <w:r>
        <w:rPr>
          <w:rFonts w:hint="eastAsia" w:ascii="仿宋_GB2312" w:hAnsi="仿宋_GB2312" w:cs="仿宋_GB2312"/>
          <w:szCs w:val="32"/>
          <w:lang w:eastAsia="zh-CN"/>
        </w:rPr>
        <w:t>、备案</w:t>
      </w:r>
      <w:r>
        <w:rPr>
          <w:rFonts w:hint="eastAsia" w:ascii="仿宋_GB2312" w:hAnsi="仿宋_GB2312" w:cs="仿宋_GB2312"/>
          <w:szCs w:val="32"/>
        </w:rPr>
        <w:t>不符</w:t>
      </w:r>
      <w:r>
        <w:rPr>
          <w:rFonts w:hint="eastAsia" w:ascii="仿宋_GB2312" w:hAnsi="仿宋_GB2312" w:cs="仿宋_GB2312"/>
          <w:szCs w:val="32"/>
          <w:lang w:eastAsia="zh-CN"/>
        </w:rPr>
        <w:t>，</w:t>
      </w:r>
      <w:r>
        <w:rPr>
          <w:rFonts w:hint="eastAsia" w:ascii="仿宋_GB2312" w:hAnsi="仿宋_GB2312" w:cs="仿宋_GB2312"/>
          <w:szCs w:val="32"/>
        </w:rPr>
        <w:t>达不到行政许可设置标准的,应当责令限期整改,逾期拒不整改或者整改后仍不符合法定条件的</w:t>
      </w:r>
      <w:r>
        <w:rPr>
          <w:rFonts w:hint="eastAsia" w:ascii="仿宋_GB2312" w:hAnsi="仿宋_GB2312" w:cs="仿宋_GB2312"/>
          <w:szCs w:val="32"/>
          <w:lang w:eastAsia="zh-CN"/>
        </w:rPr>
        <w:t>由</w:t>
      </w:r>
      <w:r>
        <w:rPr>
          <w:rFonts w:hint="eastAsia" w:ascii="仿宋_GB2312" w:hAnsi="仿宋_GB2312" w:cs="仿宋_GB2312"/>
          <w:szCs w:val="32"/>
        </w:rPr>
        <w:t>法监股函告行政审批和政务服务局依法撤销行政许可，执法大队对违法行为依法查处。</w:t>
      </w:r>
    </w:p>
    <w:p>
      <w:pPr>
        <w:rPr>
          <w:rFonts w:ascii="仿宋_GB2312" w:hAnsi="仿宋_GB2312" w:cs="仿宋_GB2312"/>
          <w:szCs w:val="32"/>
        </w:rPr>
      </w:pPr>
      <w:r>
        <w:rPr>
          <w:rFonts w:hint="eastAsia" w:ascii="仿宋_GB2312" w:hAnsi="仿宋_GB2312" w:cs="仿宋_GB2312"/>
          <w:b/>
          <w:bCs/>
          <w:szCs w:val="32"/>
        </w:rPr>
        <w:t>（三）完善监管信息</w:t>
      </w:r>
      <w:r>
        <w:rPr>
          <w:rFonts w:hint="eastAsia" w:ascii="仿宋_GB2312" w:hAnsi="仿宋_GB2312" w:cs="仿宋_GB2312"/>
          <w:b/>
          <w:bCs/>
          <w:szCs w:val="32"/>
          <w:lang w:eastAsia="zh-CN"/>
        </w:rPr>
        <w:t>。</w:t>
      </w:r>
      <w:r>
        <w:rPr>
          <w:rFonts w:hint="eastAsia" w:ascii="仿宋_GB2312" w:hAnsi="仿宋_GB2312" w:cs="仿宋_GB2312"/>
          <w:szCs w:val="32"/>
        </w:rPr>
        <w:t>执法大队应及时完善更新“监管信息库”，制定“双随机”抽查的监督检查机制。</w:t>
      </w:r>
    </w:p>
    <w:p>
      <w:pPr>
        <w:rPr>
          <w:rFonts w:ascii="仿宋_GB2312" w:hAnsi="仿宋_GB2312" w:cs="仿宋_GB2312"/>
          <w:szCs w:val="32"/>
        </w:rPr>
      </w:pPr>
      <w:r>
        <w:rPr>
          <w:rFonts w:hint="eastAsia" w:ascii="仿宋_GB2312" w:hAnsi="仿宋_GB2312" w:cs="仿宋_GB2312"/>
          <w:b/>
          <w:bCs/>
          <w:szCs w:val="32"/>
        </w:rPr>
        <w:t>（四）加强对被监督单位的日常监督</w:t>
      </w:r>
      <w:r>
        <w:rPr>
          <w:rFonts w:hint="eastAsia" w:ascii="仿宋_GB2312" w:hAnsi="仿宋_GB2312" w:cs="仿宋_GB2312"/>
          <w:b/>
          <w:bCs/>
          <w:szCs w:val="32"/>
          <w:lang w:eastAsia="zh-CN"/>
        </w:rPr>
        <w:t>。</w:t>
      </w:r>
      <w:r>
        <w:rPr>
          <w:rFonts w:hint="eastAsia" w:ascii="仿宋_GB2312" w:hAnsi="仿宋_GB2312" w:cs="仿宋_GB2312"/>
          <w:szCs w:val="32"/>
        </w:rPr>
        <w:t>执法大队依法开展日常监督执法工作。对日常监督中发现的问题,要责令整改到位;涉嫌违法的,要依法严肃查处。</w:t>
      </w:r>
    </w:p>
    <w:p>
      <w:pPr>
        <w:rPr>
          <w:rFonts w:ascii="仿宋_GB2312" w:hAnsi="仿宋_GB2312" w:cs="仿宋_GB2312"/>
          <w:szCs w:val="32"/>
        </w:rPr>
      </w:pPr>
      <w:r>
        <w:rPr>
          <w:rFonts w:hint="eastAsia" w:ascii="仿宋_GB2312" w:hAnsi="仿宋_GB2312" w:cs="仿宋_GB2312"/>
          <w:b/>
          <w:bCs/>
          <w:szCs w:val="32"/>
        </w:rPr>
        <w:t>（五）加强宣传培训</w:t>
      </w:r>
      <w:r>
        <w:rPr>
          <w:rFonts w:hint="eastAsia" w:ascii="仿宋_GB2312" w:hAnsi="仿宋_GB2312" w:cs="仿宋_GB2312"/>
          <w:b/>
          <w:bCs/>
          <w:szCs w:val="32"/>
          <w:lang w:eastAsia="zh-CN"/>
        </w:rPr>
        <w:t>。</w:t>
      </w:r>
      <w:r>
        <w:rPr>
          <w:rFonts w:hint="eastAsia" w:ascii="仿宋_GB2312" w:hAnsi="仿宋_GB2312" w:cs="仿宋_GB2312"/>
          <w:szCs w:val="32"/>
        </w:rPr>
        <w:t>执法大队负责卫生健康相关法律法规的宣传，培训工作。指导各类经营者应当切实履行卫生安全主体责任,提高自身卫生管理能力,遵守相关法律法规、标准和规范,提升卫生管理水平。</w:t>
      </w:r>
    </w:p>
    <w:p>
      <w:pPr>
        <w:rPr>
          <w:rFonts w:ascii="仿宋_GB2312" w:hAnsi="仿宋_GB2312" w:cs="仿宋_GB2312"/>
          <w:szCs w:val="32"/>
        </w:rPr>
      </w:pPr>
      <w:r>
        <w:rPr>
          <w:rFonts w:hint="eastAsia" w:ascii="仿宋_GB2312" w:hAnsi="仿宋_GB2312" w:cs="仿宋_GB2312"/>
          <w:b/>
          <w:bCs/>
          <w:szCs w:val="32"/>
        </w:rPr>
        <w:t>（六）建立信息公示制度</w:t>
      </w:r>
      <w:r>
        <w:rPr>
          <w:rFonts w:hint="eastAsia" w:ascii="仿宋_GB2312" w:hAnsi="仿宋_GB2312" w:cs="仿宋_GB2312"/>
          <w:b/>
          <w:bCs/>
          <w:szCs w:val="32"/>
          <w:lang w:eastAsia="zh-CN"/>
        </w:rPr>
        <w:t>。</w:t>
      </w:r>
      <w:r>
        <w:rPr>
          <w:rFonts w:hint="eastAsia" w:ascii="仿宋_GB2312" w:hAnsi="仿宋_GB2312" w:cs="仿宋_GB2312"/>
          <w:szCs w:val="32"/>
        </w:rPr>
        <w:t>及时依法公开“双随机”抽查结果和行政处罚等信息，并推送至信用管理平台,实现信息共享、联合惩戒。</w:t>
      </w:r>
    </w:p>
    <w:p>
      <w:pPr>
        <w:rPr>
          <w:rFonts w:ascii="仿宋_GB2312" w:hAnsi="仿宋_GB2312" w:cs="仿宋_GB2312"/>
          <w:szCs w:val="32"/>
        </w:rPr>
      </w:pPr>
      <w:r>
        <w:rPr>
          <w:rFonts w:hint="eastAsia" w:ascii="仿宋_GB2312" w:hAnsi="仿宋_GB2312" w:cs="仿宋_GB2312"/>
          <w:b/>
          <w:bCs/>
          <w:szCs w:val="32"/>
        </w:rPr>
        <w:t>（七）完善投诉举报机制</w:t>
      </w:r>
      <w:r>
        <w:rPr>
          <w:rFonts w:hint="eastAsia" w:ascii="仿宋_GB2312" w:hAnsi="仿宋_GB2312" w:cs="仿宋_GB2312"/>
          <w:b/>
          <w:bCs/>
          <w:szCs w:val="32"/>
          <w:lang w:eastAsia="zh-CN"/>
        </w:rPr>
        <w:t>。</w:t>
      </w:r>
      <w:r>
        <w:rPr>
          <w:rFonts w:hint="eastAsia" w:ascii="仿宋_GB2312" w:hAnsi="仿宋_GB2312" w:cs="仿宋_GB2312"/>
          <w:szCs w:val="32"/>
        </w:rPr>
        <w:t>畅通投诉举报渠道,严格投诉举报办理回复。</w:t>
      </w:r>
    </w:p>
    <w:p>
      <w:pPr>
        <w:spacing w:line="560" w:lineRule="exact"/>
        <w:ind w:firstLine="643" w:firstLineChars="200"/>
        <w:jc w:val="left"/>
        <w:rPr>
          <w:rFonts w:hint="default" w:ascii="仿宋_GB2312" w:hAnsi="仿宋_GB2312" w:eastAsia="仿宋_GB2312" w:cs="仿宋_GB2312"/>
          <w:b/>
          <w:bCs/>
          <w:color w:val="000000" w:themeColor="text1"/>
          <w:szCs w:val="32"/>
          <w:lang w:val="en-US" w:eastAsia="zh-CN"/>
          <w14:textFill>
            <w14:solidFill>
              <w14:schemeClr w14:val="tx1"/>
            </w14:solidFill>
          </w14:textFill>
        </w:rPr>
      </w:pPr>
      <w:r>
        <w:rPr>
          <w:rFonts w:hint="eastAsia" w:ascii="仿宋_GB2312" w:hAnsi="仿宋_GB2312" w:cs="仿宋_GB2312"/>
          <w:b/>
          <w:bCs/>
          <w:color w:val="000000" w:themeColor="text1"/>
          <w:szCs w:val="32"/>
          <w:lang w:eastAsia="zh-CN"/>
          <w14:textFill>
            <w14:solidFill>
              <w14:schemeClr w14:val="tx1"/>
            </w14:solidFill>
          </w14:textFill>
        </w:rPr>
        <w:t>三、保障措施</w:t>
      </w:r>
    </w:p>
    <w:p>
      <w:pPr>
        <w:spacing w:line="560" w:lineRule="exact"/>
        <w:ind w:firstLine="640" w:firstLineChars="200"/>
        <w:jc w:val="left"/>
        <w:rPr>
          <w:rFonts w:ascii="仿宋_GB2312" w:hAnsi="仿宋_GB2312" w:cs="仿宋_GB2312"/>
          <w:color w:val="000000" w:themeColor="text1"/>
          <w:szCs w:val="32"/>
          <w14:textFill>
            <w14:solidFill>
              <w14:schemeClr w14:val="tx1"/>
            </w14:solidFill>
          </w14:textFill>
        </w:rPr>
      </w:pPr>
      <w:r>
        <w:rPr>
          <w:rFonts w:hint="eastAsia" w:ascii="仿宋_GB2312" w:hAnsi="仿宋_GB2312" w:cs="仿宋_GB2312"/>
          <w:color w:val="000000" w:themeColor="text1"/>
          <w:szCs w:val="32"/>
          <w14:textFill>
            <w14:solidFill>
              <w14:schemeClr w14:val="tx1"/>
            </w14:solidFill>
          </w14:textFill>
        </w:rPr>
        <w:t>卫健委相关股室、卫生健康综合行政执法大队认真落实事后监管责任，具体的工作人员为直接责任人，共同推进卫生行政许可、监督工作的深入开展，助推卫生行政许可事后监管措施落地生效。</w:t>
      </w:r>
    </w:p>
    <w:p>
      <w:pPr>
        <w:rPr>
          <w:rFonts w:ascii="仿宋_GB2312" w:hAnsi="仿宋_GB2312" w:cs="仿宋_GB2312"/>
          <w:szCs w:val="32"/>
        </w:rPr>
      </w:pPr>
      <w:r>
        <w:rPr>
          <w:rFonts w:hint="eastAsia" w:ascii="仿宋_GB2312" w:hAnsi="仿宋" w:cs="微软雅黑"/>
          <w:b/>
          <w:szCs w:val="32"/>
        </w:rPr>
        <w:t xml:space="preserve">  </w:t>
      </w:r>
      <w:r>
        <w:rPr>
          <w:rFonts w:hint="eastAsia" w:ascii="仿宋_GB2312" w:hAnsi="仿宋" w:cs="微软雅黑"/>
          <w:b/>
          <w:szCs w:val="32"/>
          <w:lang w:val="en-US" w:eastAsia="zh-CN"/>
        </w:rPr>
        <w:t xml:space="preserve">  </w:t>
      </w:r>
      <w:r>
        <w:rPr>
          <w:rFonts w:hint="eastAsia"/>
        </w:rPr>
        <w:t>附件</w:t>
      </w:r>
      <w:r>
        <w:rPr>
          <w:rFonts w:hint="eastAsia"/>
          <w:lang w:eastAsia="zh-CN"/>
        </w:rPr>
        <w:t>一</w:t>
      </w:r>
      <w:r>
        <w:rPr>
          <w:rFonts w:hint="eastAsia"/>
        </w:rPr>
        <w:t>：卫生行政许可事后监管</w:t>
      </w:r>
      <w:r>
        <w:rPr>
          <w:rFonts w:hint="eastAsia" w:ascii="仿宋_GB2312" w:hAnsi="仿宋_GB2312" w:cs="仿宋_GB2312"/>
          <w:szCs w:val="32"/>
        </w:rPr>
        <w:t>覆盖核查责任划分</w:t>
      </w:r>
    </w:p>
    <w:p>
      <w:pPr>
        <w:ind w:firstLine="640" w:firstLineChars="200"/>
        <w:rPr>
          <w:rFonts w:hint="eastAsia" w:ascii="仿宋_GB2312" w:hAnsi="仿宋_GB2312" w:cs="仿宋_GB2312"/>
          <w:sz w:val="32"/>
          <w:szCs w:val="32"/>
          <w:lang w:val="en-US" w:eastAsia="zh-CN"/>
        </w:rPr>
      </w:pPr>
      <w:r>
        <w:rPr>
          <w:rFonts w:hint="eastAsia" w:ascii="仿宋_GB2312" w:hAnsi="仿宋_GB2312" w:cs="仿宋_GB2312"/>
          <w:szCs w:val="32"/>
          <w:lang w:eastAsia="zh-CN"/>
        </w:rPr>
        <w:t>附件二：</w:t>
      </w:r>
      <w:r>
        <w:rPr>
          <w:rFonts w:hint="eastAsia" w:ascii="仿宋_GB2312" w:hAnsi="仿宋_GB2312" w:cs="仿宋_GB2312"/>
          <w:sz w:val="32"/>
          <w:szCs w:val="32"/>
          <w:lang w:val="en-US" w:eastAsia="zh-CN"/>
        </w:rPr>
        <w:t>卫生行政许可事后监管信息推送单</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附件三：</w:t>
      </w:r>
      <w:r>
        <w:rPr>
          <w:rFonts w:hint="eastAsia" w:ascii="仿宋_GB2312" w:hAnsi="仿宋_GB2312" w:eastAsia="仿宋_GB2312" w:cs="仿宋_GB2312"/>
          <w:sz w:val="32"/>
          <w:szCs w:val="32"/>
          <w:lang w:val="en-US" w:eastAsia="zh-CN"/>
        </w:rPr>
        <w:t>卫生行政许可事后覆盖核查报告</w:t>
      </w:r>
    </w:p>
    <w:p>
      <w:pPr>
        <w:spacing w:line="560" w:lineRule="exact"/>
      </w:pPr>
    </w:p>
    <w:p/>
    <w:p/>
    <w:p>
      <w:pPr>
        <w:rPr>
          <w:rFonts w:hint="eastAsia"/>
        </w:rPr>
      </w:pPr>
    </w:p>
    <w:p>
      <w:pPr>
        <w:rPr>
          <w:rFonts w:ascii="仿宋_GB2312" w:hAnsi="仿宋_GB2312" w:cs="仿宋_GB2312"/>
          <w:szCs w:val="32"/>
        </w:rPr>
      </w:pPr>
      <w:r>
        <w:rPr>
          <w:rFonts w:hint="eastAsia"/>
        </w:rPr>
        <w:t>附件</w:t>
      </w:r>
      <w:r>
        <w:rPr>
          <w:rFonts w:hint="eastAsia"/>
          <w:lang w:eastAsia="zh-CN"/>
        </w:rPr>
        <w:t>一</w:t>
      </w:r>
      <w:r>
        <w:rPr>
          <w:rFonts w:hint="eastAsia"/>
        </w:rPr>
        <w:t>：卫生行政许可事后监管</w:t>
      </w:r>
      <w:r>
        <w:rPr>
          <w:rFonts w:hint="eastAsia" w:ascii="仿宋_GB2312" w:hAnsi="仿宋_GB2312" w:cs="仿宋_GB2312"/>
          <w:szCs w:val="32"/>
        </w:rPr>
        <w:t>覆盖核查责任划分</w:t>
      </w:r>
    </w:p>
    <w:p>
      <w:pPr>
        <w:rPr>
          <w:rFonts w:ascii="仿宋_GB2312" w:hAnsi="仿宋_GB2312" w:cs="仿宋_GB2312"/>
          <w:szCs w:val="32"/>
        </w:rPr>
      </w:pPr>
      <w:r>
        <w:rPr>
          <w:rFonts w:hint="eastAsia" w:ascii="仿宋_GB2312" w:hAnsi="仿宋_GB2312" w:cs="仿宋_GB2312"/>
          <w:szCs w:val="32"/>
        </w:rPr>
        <w:t>1、医疗机构行政许可   责任人：医政股   执法大队</w:t>
      </w:r>
    </w:p>
    <w:p>
      <w:pPr>
        <w:rPr>
          <w:rFonts w:ascii="仿宋_GB2312" w:hAnsi="仿宋_GB2312" w:cs="仿宋_GB2312"/>
          <w:szCs w:val="32"/>
        </w:rPr>
      </w:pPr>
      <w:r>
        <w:rPr>
          <w:rFonts w:hint="eastAsia" w:ascii="仿宋_GB2312" w:hAnsi="仿宋_GB2312" w:cs="仿宋_GB2312"/>
          <w:szCs w:val="32"/>
        </w:rPr>
        <w:t>2、公共场所行政许可   责任人：法监股   执法大队</w:t>
      </w:r>
    </w:p>
    <w:p>
      <w:pPr>
        <w:rPr>
          <w:rFonts w:ascii="仿宋_GB2312" w:hAnsi="仿宋_GB2312" w:cs="仿宋_GB2312"/>
          <w:szCs w:val="32"/>
        </w:rPr>
      </w:pPr>
      <w:r>
        <w:rPr>
          <w:rFonts w:hint="eastAsia" w:ascii="仿宋_GB2312" w:hAnsi="仿宋_GB2312" w:cs="仿宋_GB2312"/>
          <w:szCs w:val="32"/>
        </w:rPr>
        <w:t>3、生活饮用水行政许可  责任人：法监股   执法大队</w:t>
      </w:r>
    </w:p>
    <w:p>
      <w:pPr>
        <w:rPr>
          <w:rFonts w:ascii="仿宋_GB2312" w:hAnsi="仿宋_GB2312" w:cs="仿宋_GB2312"/>
          <w:szCs w:val="32"/>
        </w:rPr>
      </w:pPr>
      <w:r>
        <w:rPr>
          <w:rFonts w:hint="eastAsia" w:ascii="仿宋_GB2312" w:hAnsi="仿宋_GB2312" w:cs="仿宋_GB2312"/>
          <w:szCs w:val="32"/>
        </w:rPr>
        <w:t>4、放射诊疗行政许可    责任人：法监股   执法大队</w:t>
      </w:r>
    </w:p>
    <w:p>
      <w:pPr>
        <w:rPr>
          <w:rFonts w:ascii="仿宋_GB2312" w:hAnsi="仿宋_GB2312" w:cs="仿宋_GB2312"/>
          <w:szCs w:val="32"/>
        </w:rPr>
      </w:pPr>
      <w:r>
        <w:rPr>
          <w:rFonts w:hint="eastAsia" w:ascii="仿宋_GB2312" w:hAnsi="仿宋_GB2312" w:cs="仿宋_GB2312"/>
          <w:szCs w:val="32"/>
        </w:rPr>
        <w:t xml:space="preserve">5、母婴保健技术行政许可   责任人：妇幼股   执法大队 </w:t>
      </w:r>
    </w:p>
    <w:p>
      <w:pPr>
        <w:rPr>
          <w:rFonts w:ascii="仿宋_GB2312" w:hAnsi="仿宋_GB2312" w:cs="仿宋_GB2312"/>
          <w:szCs w:val="32"/>
        </w:rPr>
      </w:pPr>
      <w:r>
        <w:rPr>
          <w:rFonts w:hint="eastAsia" w:ascii="仿宋_GB2312" w:hAnsi="仿宋_GB2312" w:cs="仿宋_GB2312"/>
          <w:szCs w:val="32"/>
        </w:rPr>
        <w:t>复核标准以政务服务中心承诺制、备案制标准及相关法律法规具体行政许可条件为复核标准。</w:t>
      </w: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ascii="仿宋_GB2312" w:hAnsi="仿宋_GB2312" w:cs="仿宋_GB2312"/>
          <w:szCs w:val="32"/>
        </w:rPr>
      </w:pPr>
    </w:p>
    <w:p>
      <w:pPr>
        <w:rPr>
          <w:rFonts w:hint="eastAsia" w:ascii="仿宋_GB2312" w:hAnsi="仿宋_GB2312" w:eastAsia="仿宋_GB2312" w:cs="仿宋_GB2312"/>
          <w:szCs w:val="32"/>
          <w:lang w:eastAsia="zh-CN"/>
        </w:rPr>
      </w:pPr>
      <w:r>
        <w:rPr>
          <w:rFonts w:hint="eastAsia" w:ascii="仿宋_GB2312" w:hAnsi="仿宋_GB2312" w:cs="仿宋_GB2312"/>
          <w:szCs w:val="32"/>
          <w:lang w:eastAsia="zh-CN"/>
        </w:rPr>
        <w:t>附件二</w:t>
      </w:r>
    </w:p>
    <w:p>
      <w:pPr>
        <w:rPr>
          <w:rFonts w:ascii="仿宋_GB2312" w:hAnsi="仿宋_GB2312" w:cs="仿宋_GB2312"/>
          <w:szCs w:val="32"/>
        </w:rPr>
      </w:pPr>
    </w:p>
    <w:p>
      <w:pPr>
        <w:numPr>
          <w:ilvl w:val="0"/>
          <w:numId w:val="0"/>
        </w:numPr>
        <w:ind w:leftChars="0" w:firstLine="1600" w:firstLineChars="500"/>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卫生行政许可事后监管信息推送单</w:t>
      </w:r>
    </w:p>
    <w:p>
      <w:pPr>
        <w:numPr>
          <w:ilvl w:val="0"/>
          <w:numId w:val="0"/>
        </w:numPr>
        <w:rPr>
          <w:rFonts w:hint="eastAsia" w:ascii="仿宋_GB2312" w:hAnsi="仿宋_GB2312" w:cs="仿宋_GB2312"/>
          <w:sz w:val="32"/>
          <w:szCs w:val="32"/>
          <w:u w:val="none"/>
          <w:lang w:val="en-US" w:eastAsia="zh-CN"/>
        </w:rPr>
      </w:pPr>
      <w:r>
        <w:rPr>
          <w:rFonts w:hint="eastAsia" w:ascii="仿宋_GB2312" w:hAnsi="仿宋_GB2312" w:cs="仿宋_GB2312"/>
          <w:sz w:val="32"/>
          <w:szCs w:val="32"/>
          <w:u w:val="single"/>
          <w:lang w:val="en-US" w:eastAsia="zh-CN"/>
        </w:rPr>
        <w:t xml:space="preserve">                       </w:t>
      </w:r>
      <w:r>
        <w:rPr>
          <w:rFonts w:hint="eastAsia" w:ascii="仿宋_GB2312" w:hAnsi="仿宋_GB2312" w:cs="仿宋_GB2312"/>
          <w:sz w:val="32"/>
          <w:szCs w:val="32"/>
          <w:u w:val="none"/>
          <w:lang w:val="en-US" w:eastAsia="zh-CN"/>
        </w:rPr>
        <w:t xml:space="preserve"> ：</w:t>
      </w:r>
    </w:p>
    <w:p>
      <w:pPr>
        <w:numPr>
          <w:ilvl w:val="0"/>
          <w:numId w:val="0"/>
        </w:numPr>
        <w:ind w:firstLine="640"/>
        <w:rPr>
          <w:rFonts w:hint="eastAsia" w:ascii="仿宋_GB2312" w:hAnsi="仿宋_GB2312" w:cs="仿宋_GB2312"/>
          <w:sz w:val="32"/>
          <w:szCs w:val="32"/>
          <w:lang w:eastAsia="zh-CN"/>
        </w:rPr>
      </w:pPr>
      <w:r>
        <w:rPr>
          <w:rFonts w:hint="eastAsia" w:ascii="仿宋_GB2312" w:hAnsi="仿宋_GB2312" w:cs="仿宋_GB2312"/>
          <w:sz w:val="32"/>
          <w:szCs w:val="32"/>
          <w:u w:val="none"/>
          <w:lang w:val="en-US" w:eastAsia="zh-CN"/>
        </w:rPr>
        <w:t>根据奈曼旗</w:t>
      </w:r>
      <w:r>
        <w:rPr>
          <w:rFonts w:hint="eastAsia" w:ascii="仿宋_GB2312" w:hAnsi="仿宋_GB2312" w:cs="仿宋_GB2312"/>
          <w:sz w:val="32"/>
          <w:szCs w:val="32"/>
          <w:lang w:eastAsia="zh-CN"/>
        </w:rPr>
        <w:t>行政审批和政务服务局</w:t>
      </w:r>
      <w:r>
        <w:rPr>
          <w:rFonts w:hint="eastAsia" w:ascii="仿宋_GB2312" w:hAnsi="仿宋_GB2312" w:cs="仿宋_GB2312"/>
          <w:sz w:val="32"/>
          <w:szCs w:val="32"/>
          <w:lang w:val="en-US" w:eastAsia="zh-CN"/>
        </w:rPr>
        <w:t xml:space="preserve">     月     日推送的卫生行政许可信息，对以下单位于       月     日前完成</w:t>
      </w:r>
      <w:r>
        <w:rPr>
          <w:rFonts w:hint="eastAsia" w:ascii="仿宋_GB2312" w:hAnsi="仿宋_GB2312" w:cs="仿宋_GB2312"/>
          <w:sz w:val="32"/>
          <w:szCs w:val="32"/>
          <w:lang w:eastAsia="zh-CN"/>
        </w:rPr>
        <w:t>覆盖核查，并将核查结果报至法监股。</w:t>
      </w:r>
    </w:p>
    <w:tbl>
      <w:tblPr>
        <w:tblStyle w:val="5"/>
        <w:tblW w:w="10726" w:type="dxa"/>
        <w:tblInd w:w="-114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51"/>
        <w:gridCol w:w="1664"/>
        <w:gridCol w:w="1395"/>
        <w:gridCol w:w="1095"/>
        <w:gridCol w:w="1591"/>
        <w:gridCol w:w="1890"/>
        <w:gridCol w:w="26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1"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lang w:eastAsia="zh-CN"/>
              </w:rPr>
            </w:pPr>
            <w:r>
              <w:rPr>
                <w:rFonts w:hint="eastAsia" w:ascii="宋体" w:hAnsi="宋体" w:eastAsia="宋体" w:cs="宋体"/>
                <w:b/>
                <w:bCs/>
                <w:i w:val="0"/>
                <w:iCs w:val="0"/>
                <w:color w:val="000000"/>
                <w:sz w:val="24"/>
                <w:szCs w:val="24"/>
                <w:u w:val="none"/>
                <w:lang w:eastAsia="zh-CN"/>
              </w:rPr>
              <w:t>序号</w:t>
            </w:r>
          </w:p>
        </w:tc>
        <w:tc>
          <w:tcPr>
            <w:tcW w:w="16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办理事项</w:t>
            </w:r>
          </w:p>
        </w:tc>
        <w:tc>
          <w:tcPr>
            <w:tcW w:w="1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单位名称</w:t>
            </w: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姓名</w:t>
            </w:r>
          </w:p>
        </w:tc>
        <w:tc>
          <w:tcPr>
            <w:tcW w:w="1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联系方式</w:t>
            </w: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sz w:val="24"/>
                <w:szCs w:val="24"/>
                <w:lang w:val="en-US" w:eastAsia="zh-CN"/>
              </w:rPr>
              <w:t>地址</w:t>
            </w:r>
            <w:r>
              <w:rPr>
                <w:rFonts w:hint="eastAsia" w:ascii="仿宋_GB2312" w:hAnsi="仿宋_GB2312" w:cs="仿宋_GB2312"/>
                <w:b/>
                <w:bCs/>
                <w:sz w:val="24"/>
                <w:szCs w:val="24"/>
                <w:lang w:val="en-US" w:eastAsia="zh-CN"/>
              </w:rPr>
              <w:t xml:space="preserve"> </w:t>
            </w:r>
          </w:p>
        </w:tc>
        <w:tc>
          <w:tcPr>
            <w:tcW w:w="2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许可证号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lang w:eastAsia="zh-CN"/>
              </w:rPr>
            </w:pPr>
          </w:p>
        </w:tc>
        <w:tc>
          <w:tcPr>
            <w:tcW w:w="16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sz w:val="24"/>
                <w:szCs w:val="24"/>
                <w:lang w:val="en-US" w:eastAsia="zh-CN"/>
              </w:rPr>
            </w:pPr>
          </w:p>
        </w:tc>
        <w:tc>
          <w:tcPr>
            <w:tcW w:w="2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lang w:eastAsia="zh-CN"/>
              </w:rPr>
            </w:pPr>
          </w:p>
        </w:tc>
        <w:tc>
          <w:tcPr>
            <w:tcW w:w="16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sz w:val="24"/>
                <w:szCs w:val="24"/>
                <w:lang w:val="en-US" w:eastAsia="zh-CN"/>
              </w:rPr>
            </w:pPr>
          </w:p>
        </w:tc>
        <w:tc>
          <w:tcPr>
            <w:tcW w:w="2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lang w:eastAsia="zh-CN"/>
              </w:rPr>
            </w:pPr>
          </w:p>
        </w:tc>
        <w:tc>
          <w:tcPr>
            <w:tcW w:w="16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sz w:val="24"/>
                <w:szCs w:val="24"/>
                <w:lang w:val="en-US" w:eastAsia="zh-CN"/>
              </w:rPr>
            </w:pPr>
          </w:p>
        </w:tc>
        <w:tc>
          <w:tcPr>
            <w:tcW w:w="2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lang w:eastAsia="zh-CN"/>
              </w:rPr>
            </w:pPr>
          </w:p>
        </w:tc>
        <w:tc>
          <w:tcPr>
            <w:tcW w:w="16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sz w:val="24"/>
                <w:szCs w:val="24"/>
                <w:lang w:val="en-US" w:eastAsia="zh-CN"/>
              </w:rPr>
            </w:pPr>
          </w:p>
        </w:tc>
        <w:tc>
          <w:tcPr>
            <w:tcW w:w="2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lang w:eastAsia="zh-CN"/>
              </w:rPr>
            </w:pPr>
          </w:p>
        </w:tc>
        <w:tc>
          <w:tcPr>
            <w:tcW w:w="16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c>
          <w:tcPr>
            <w:tcW w:w="18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sz w:val="24"/>
                <w:szCs w:val="24"/>
                <w:lang w:val="en-US" w:eastAsia="zh-CN"/>
              </w:rPr>
            </w:pPr>
          </w:p>
        </w:tc>
        <w:tc>
          <w:tcPr>
            <w:tcW w:w="2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r>
    </w:tbl>
    <w:p>
      <w:pPr>
        <w:rPr>
          <w:rFonts w:ascii="仿宋_GB2312" w:hAnsi="仿宋_GB2312" w:cs="仿宋_GB2312"/>
          <w:szCs w:val="32"/>
        </w:rPr>
      </w:pPr>
    </w:p>
    <w:p>
      <w:pPr>
        <w:rPr>
          <w:rFonts w:hint="eastAsia" w:ascii="仿宋_GB2312" w:hAnsi="仿宋_GB2312" w:cs="仿宋_GB2312"/>
          <w:szCs w:val="32"/>
          <w:lang w:eastAsia="zh-CN"/>
        </w:rPr>
      </w:pPr>
    </w:p>
    <w:p>
      <w:pPr>
        <w:rPr>
          <w:rFonts w:hint="eastAsia" w:ascii="仿宋_GB2312" w:hAnsi="仿宋_GB2312" w:eastAsia="仿宋_GB2312" w:cs="仿宋_GB2312"/>
          <w:szCs w:val="32"/>
          <w:lang w:eastAsia="zh-CN"/>
        </w:rPr>
      </w:pPr>
      <w:bookmarkStart w:id="0" w:name="_GoBack"/>
      <w:bookmarkEnd w:id="0"/>
      <w:r>
        <w:rPr>
          <w:rFonts w:hint="eastAsia" w:ascii="仿宋_GB2312" w:hAnsi="仿宋_GB2312" w:cs="仿宋_GB2312"/>
          <w:szCs w:val="32"/>
          <w:lang w:eastAsia="zh-CN"/>
        </w:rPr>
        <w:t>附件三</w:t>
      </w:r>
    </w:p>
    <w:p>
      <w:pPr>
        <w:numPr>
          <w:ilvl w:val="0"/>
          <w:numId w:val="0"/>
        </w:numPr>
        <w:ind w:firstLine="1440" w:firstLineChars="400"/>
        <w:rPr>
          <w:rFonts w:hint="eastAsia" w:ascii="仿宋_GB2312" w:hAnsi="仿宋_GB2312" w:cs="仿宋_GB2312"/>
          <w:sz w:val="32"/>
          <w:szCs w:val="32"/>
          <w:lang w:val="en-US" w:eastAsia="zh-CN"/>
        </w:rPr>
      </w:pPr>
      <w:r>
        <w:rPr>
          <w:rFonts w:hint="eastAsia" w:ascii="黑体" w:hAnsi="黑体" w:eastAsia="黑体" w:cs="黑体"/>
          <w:sz w:val="36"/>
          <w:szCs w:val="36"/>
          <w:lang w:val="en-US" w:eastAsia="zh-CN"/>
        </w:rPr>
        <w:t>卫生行政许可事后覆盖核查报告</w:t>
      </w:r>
    </w:p>
    <w:p>
      <w:pPr>
        <w:numPr>
          <w:ilvl w:val="0"/>
          <w:numId w:val="0"/>
        </w:numPr>
        <w:ind w:firstLine="1280" w:firstLineChars="400"/>
        <w:rPr>
          <w:rFonts w:hint="eastAsia" w:ascii="仿宋_GB2312" w:hAnsi="仿宋_GB2312" w:cs="仿宋_GB2312"/>
          <w:sz w:val="32"/>
          <w:szCs w:val="32"/>
          <w:lang w:val="en-US" w:eastAsia="zh-CN"/>
        </w:rPr>
      </w:pPr>
    </w:p>
    <w:p>
      <w:pPr>
        <w:numPr>
          <w:ilvl w:val="0"/>
          <w:numId w:val="0"/>
        </w:numPr>
        <w:ind w:firstLine="1280" w:firstLineChars="400"/>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月    日对以下单位进行核查，与承诺一致、符合发证标准的申请人有：</w:t>
      </w:r>
    </w:p>
    <w:p>
      <w:pPr>
        <w:numPr>
          <w:ilvl w:val="0"/>
          <w:numId w:val="0"/>
        </w:numPr>
        <w:ind w:firstLine="1280" w:firstLineChars="400"/>
        <w:rPr>
          <w:rFonts w:hint="eastAsia" w:ascii="仿宋_GB2312" w:hAnsi="仿宋_GB2312" w:cs="仿宋_GB2312"/>
          <w:sz w:val="32"/>
          <w:szCs w:val="32"/>
          <w:lang w:val="en-US" w:eastAsia="zh-CN"/>
        </w:rPr>
      </w:pPr>
    </w:p>
    <w:p>
      <w:pPr>
        <w:numPr>
          <w:ilvl w:val="0"/>
          <w:numId w:val="0"/>
        </w:numPr>
        <w:ind w:firstLine="1280" w:firstLineChars="400"/>
        <w:rPr>
          <w:rFonts w:hint="eastAsia" w:ascii="仿宋_GB2312" w:hAnsi="仿宋_GB2312" w:cs="仿宋_GB2312"/>
          <w:sz w:val="32"/>
          <w:szCs w:val="32"/>
          <w:lang w:val="en-US" w:eastAsia="zh-CN"/>
        </w:rPr>
      </w:pPr>
    </w:p>
    <w:p>
      <w:pPr>
        <w:numPr>
          <w:ilvl w:val="0"/>
          <w:numId w:val="0"/>
        </w:numPr>
        <w:ind w:firstLine="1280" w:firstLineChars="400"/>
        <w:rPr>
          <w:rFonts w:hint="eastAsia" w:ascii="仿宋_GB2312" w:hAnsi="仿宋_GB2312" w:cs="仿宋_GB2312"/>
          <w:sz w:val="32"/>
          <w:szCs w:val="32"/>
          <w:lang w:val="en-US" w:eastAsia="zh-CN"/>
        </w:rPr>
      </w:pPr>
    </w:p>
    <w:p>
      <w:pPr>
        <w:numPr>
          <w:ilvl w:val="0"/>
          <w:numId w:val="0"/>
        </w:numPr>
        <w:ind w:firstLine="1280" w:firstLineChars="400"/>
        <w:rPr>
          <w:rFonts w:hint="eastAsia" w:ascii="仿宋_GB2312" w:hAnsi="仿宋_GB2312" w:cs="仿宋_GB2312"/>
          <w:sz w:val="32"/>
          <w:szCs w:val="32"/>
          <w:lang w:val="en-US" w:eastAsia="zh-CN"/>
        </w:rPr>
      </w:pPr>
    </w:p>
    <w:p>
      <w:pPr>
        <w:numPr>
          <w:ilvl w:val="0"/>
          <w:numId w:val="0"/>
        </w:numPr>
        <w:ind w:firstLine="1280" w:firstLineChars="400"/>
        <w:rPr>
          <w:rFonts w:hint="eastAsia" w:ascii="仿宋_GB2312" w:hAnsi="仿宋_GB2312" w:cs="仿宋_GB2312"/>
          <w:sz w:val="32"/>
          <w:szCs w:val="32"/>
          <w:lang w:val="en-US" w:eastAsia="zh-CN"/>
        </w:rPr>
      </w:pPr>
    </w:p>
    <w:p>
      <w:pPr>
        <w:numPr>
          <w:ilvl w:val="0"/>
          <w:numId w:val="0"/>
        </w:numPr>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与承诺不符、不符合发证标准的申请人有：</w:t>
      </w:r>
    </w:p>
    <w:p>
      <w:pPr>
        <w:numPr>
          <w:ilvl w:val="0"/>
          <w:numId w:val="0"/>
        </w:numPr>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 xml:space="preserve"> </w:t>
      </w:r>
    </w:p>
    <w:p>
      <w:pPr>
        <w:numPr>
          <w:ilvl w:val="0"/>
          <w:numId w:val="0"/>
        </w:numPr>
        <w:rPr>
          <w:rFonts w:hint="eastAsia" w:ascii="仿宋_GB2312" w:hAnsi="仿宋_GB2312" w:cs="仿宋_GB2312"/>
          <w:sz w:val="32"/>
          <w:szCs w:val="32"/>
          <w:lang w:val="en-US" w:eastAsia="zh-CN"/>
        </w:rPr>
      </w:pPr>
    </w:p>
    <w:p>
      <w:pPr>
        <w:numPr>
          <w:ilvl w:val="0"/>
          <w:numId w:val="0"/>
        </w:numPr>
        <w:rPr>
          <w:rFonts w:hint="eastAsia" w:ascii="仿宋_GB2312" w:hAnsi="仿宋_GB2312" w:cs="仿宋_GB2312"/>
          <w:sz w:val="32"/>
          <w:szCs w:val="32"/>
          <w:lang w:val="en-US" w:eastAsia="zh-CN"/>
        </w:rPr>
      </w:pPr>
    </w:p>
    <w:p>
      <w:pPr>
        <w:numPr>
          <w:ilvl w:val="0"/>
          <w:numId w:val="0"/>
        </w:numPr>
        <w:rPr>
          <w:rFonts w:hint="eastAsia" w:ascii="仿宋_GB2312" w:hAnsi="仿宋_GB2312" w:cs="仿宋_GB2312"/>
          <w:sz w:val="32"/>
          <w:szCs w:val="32"/>
          <w:lang w:val="en-US" w:eastAsia="zh-CN"/>
        </w:rPr>
      </w:pPr>
    </w:p>
    <w:p>
      <w:pPr>
        <w:numPr>
          <w:ilvl w:val="0"/>
          <w:numId w:val="0"/>
        </w:numPr>
        <w:rPr>
          <w:rFonts w:hint="eastAsia" w:ascii="仿宋_GB2312" w:hAnsi="仿宋_GB2312" w:cs="仿宋_GB2312"/>
          <w:sz w:val="32"/>
          <w:szCs w:val="32"/>
          <w:lang w:val="en-US" w:eastAsia="zh-CN"/>
        </w:rPr>
      </w:pPr>
    </w:p>
    <w:p>
      <w:pPr>
        <w:numPr>
          <w:ilvl w:val="0"/>
          <w:numId w:val="0"/>
        </w:numPr>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实际复核情况有“现场检查笔录”为证。</w:t>
      </w:r>
    </w:p>
    <w:p>
      <w:pPr>
        <w:numPr>
          <w:ilvl w:val="0"/>
          <w:numId w:val="0"/>
        </w:numPr>
        <w:ind w:firstLine="2560" w:firstLineChars="800"/>
        <w:rPr>
          <w:rFonts w:hint="eastAsia" w:ascii="仿宋_GB2312" w:hAnsi="仿宋_GB2312" w:cs="仿宋_GB2312"/>
          <w:sz w:val="32"/>
          <w:szCs w:val="32"/>
          <w:lang w:val="en-US" w:eastAsia="zh-CN"/>
        </w:rPr>
      </w:pPr>
    </w:p>
    <w:p>
      <w:pPr>
        <w:numPr>
          <w:ilvl w:val="0"/>
          <w:numId w:val="0"/>
        </w:numPr>
        <w:ind w:firstLine="2560" w:firstLineChars="800"/>
        <w:rPr>
          <w:rFonts w:hint="eastAsia" w:ascii="仿宋_GB2312" w:hAnsi="仿宋_GB2312" w:cs="仿宋_GB2312"/>
          <w:sz w:val="32"/>
          <w:szCs w:val="32"/>
          <w:lang w:val="en-US" w:eastAsia="zh-CN"/>
        </w:rPr>
      </w:pPr>
    </w:p>
    <w:p>
      <w:pPr>
        <w:numPr>
          <w:ilvl w:val="0"/>
          <w:numId w:val="0"/>
        </w:numPr>
        <w:ind w:firstLine="3520" w:firstLineChars="1100"/>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复核检查人：</w:t>
      </w:r>
    </w:p>
    <w:p>
      <w:pPr>
        <w:numPr>
          <w:ilvl w:val="0"/>
          <w:numId w:val="0"/>
        </w:numPr>
        <w:ind w:firstLine="5760" w:firstLineChars="1800"/>
        <w:rPr>
          <w:rFonts w:hint="eastAsia" w:ascii="仿宋_GB2312" w:hAnsi="仿宋_GB2312" w:cs="仿宋_GB2312"/>
          <w:sz w:val="32"/>
          <w:szCs w:val="32"/>
          <w:lang w:val="en-US" w:eastAsia="zh-CN"/>
        </w:rPr>
      </w:pPr>
    </w:p>
    <w:p>
      <w:pPr>
        <w:numPr>
          <w:ilvl w:val="0"/>
          <w:numId w:val="0"/>
        </w:numPr>
        <w:ind w:firstLine="5760" w:firstLineChars="1800"/>
        <w:rPr>
          <w:rFonts w:ascii="仿宋_GB2312" w:hAnsi="仿宋_GB2312" w:cs="仿宋_GB2312"/>
          <w:szCs w:val="32"/>
        </w:rPr>
      </w:pPr>
      <w:r>
        <w:rPr>
          <w:rFonts w:hint="eastAsia" w:ascii="仿宋_GB2312" w:hAnsi="仿宋_GB2312" w:cs="仿宋_GB2312"/>
          <w:sz w:val="32"/>
          <w:szCs w:val="32"/>
          <w:lang w:val="en-US" w:eastAsia="zh-CN"/>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liNDkzMDg1NzgyNGRmNGNjNTZhZTY4ODJjYjU1MzcifQ=="/>
  </w:docVars>
  <w:rsids>
    <w:rsidRoot w:val="70C926AF"/>
    <w:rsid w:val="008F7D25"/>
    <w:rsid w:val="00F167F4"/>
    <w:rsid w:val="01462BEE"/>
    <w:rsid w:val="14025D78"/>
    <w:rsid w:val="17C572A5"/>
    <w:rsid w:val="18051AD6"/>
    <w:rsid w:val="1BA14B56"/>
    <w:rsid w:val="1EF81EB7"/>
    <w:rsid w:val="249F334C"/>
    <w:rsid w:val="28921B41"/>
    <w:rsid w:val="2E4A16D6"/>
    <w:rsid w:val="304E739E"/>
    <w:rsid w:val="42632021"/>
    <w:rsid w:val="4AD81BEF"/>
    <w:rsid w:val="5512494D"/>
    <w:rsid w:val="566127FF"/>
    <w:rsid w:val="5B2306DA"/>
    <w:rsid w:val="5C3017B6"/>
    <w:rsid w:val="6C97636D"/>
    <w:rsid w:val="6E750D85"/>
    <w:rsid w:val="70C926AF"/>
    <w:rsid w:val="73737442"/>
    <w:rsid w:val="79482541"/>
    <w:rsid w:val="7AB42D00"/>
    <w:rsid w:val="7B9756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0"/>
    <w:qFormat/>
    <w:uiPriority w:val="0"/>
    <w:pPr>
      <w:jc w:val="left"/>
    </w:pPr>
  </w:style>
  <w:style w:type="paragraph" w:styleId="3">
    <w:name w:val="Normal (Web)"/>
    <w:basedOn w:val="1"/>
    <w:qFormat/>
    <w:uiPriority w:val="0"/>
    <w:pPr>
      <w:spacing w:before="100" w:beforeAutospacing="1" w:after="100" w:afterAutospacing="1"/>
      <w:jc w:val="left"/>
    </w:pPr>
    <w:rPr>
      <w:rFonts w:ascii="Calibri" w:hAnsi="Calibri" w:eastAsia="宋体"/>
      <w:kern w:val="0"/>
      <w:sz w:val="24"/>
    </w:rPr>
  </w:style>
  <w:style w:type="paragraph" w:styleId="4">
    <w:name w:val="annotation subject"/>
    <w:basedOn w:val="2"/>
    <w:next w:val="2"/>
    <w:link w:val="11"/>
    <w:qFormat/>
    <w:uiPriority w:val="0"/>
    <w:rPr>
      <w:b/>
      <w:bCs/>
    </w:rPr>
  </w:style>
  <w:style w:type="character" w:styleId="7">
    <w:name w:val="Strong"/>
    <w:basedOn w:val="6"/>
    <w:qFormat/>
    <w:uiPriority w:val="0"/>
    <w:rPr>
      <w:b/>
    </w:rPr>
  </w:style>
  <w:style w:type="character" w:styleId="8">
    <w:name w:val="annotation reference"/>
    <w:basedOn w:val="6"/>
    <w:qFormat/>
    <w:uiPriority w:val="0"/>
    <w:rPr>
      <w:sz w:val="21"/>
      <w:szCs w:val="21"/>
    </w:rPr>
  </w:style>
  <w:style w:type="paragraph" w:styleId="9">
    <w:name w:val="List Paragraph"/>
    <w:basedOn w:val="1"/>
    <w:qFormat/>
    <w:uiPriority w:val="99"/>
    <w:pPr>
      <w:ind w:firstLine="420" w:firstLineChars="200"/>
    </w:pPr>
  </w:style>
  <w:style w:type="character" w:customStyle="1" w:styleId="10">
    <w:name w:val="批注文字 字符"/>
    <w:basedOn w:val="6"/>
    <w:link w:val="2"/>
    <w:qFormat/>
    <w:uiPriority w:val="0"/>
    <w:rPr>
      <w:rFonts w:eastAsia="仿宋_GB2312"/>
      <w:kern w:val="2"/>
      <w:sz w:val="32"/>
      <w:szCs w:val="24"/>
    </w:rPr>
  </w:style>
  <w:style w:type="character" w:customStyle="1" w:styleId="11">
    <w:name w:val="批注主题 字符"/>
    <w:basedOn w:val="10"/>
    <w:link w:val="4"/>
    <w:qFormat/>
    <w:uiPriority w:val="0"/>
    <w:rPr>
      <w:rFonts w:eastAsia="仿宋_GB2312"/>
      <w:b/>
      <w:bCs/>
      <w:kern w:val="2"/>
      <w:sz w:val="32"/>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1774</Words>
  <Characters>1787</Characters>
  <Lines>15</Lines>
  <Paragraphs>4</Paragraphs>
  <TotalTime>43</TotalTime>
  <ScaleCrop>false</ScaleCrop>
  <LinksUpToDate>false</LinksUpToDate>
  <CharactersWithSpaces>1900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2021-12-09T03:26:00Z</dcterms:created>
  <dc:creator>达摩利剑</dc:creator>
  <cp:lastModifiedBy>Administrator</cp:lastModifiedBy>
  <cp:lastPrinted>2022-05-11T08:23:00Z</cp:lastPrinted>
  <dcterms:modified xsi:type="dcterms:W3CDTF">2022-06-08T02:56:54Z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55BBDDE348004634AAFD2A8306B23796</vt:lpwstr>
  </property>
</Properties>
</file>