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55" w:beforeAutospacing="0" w:after="0" w:afterAutospacing="0" w:line="200" w:lineRule="exact"/>
        <w:ind w:left="0" w:right="0" w:firstLine="0"/>
        <w:jc w:val="center"/>
        <w:textAlignment w:val="auto"/>
        <w:rPr>
          <w:rFonts w:hint="eastAsia" w:ascii="方正小标宋简体" w:hAnsi="方正小标宋简体" w:eastAsia="方正小标宋简体" w:cs="方正小标宋简体"/>
          <w:i w:val="0"/>
          <w:iCs w:val="0"/>
          <w:caps w:val="0"/>
          <w:color w:val="3D3C3C"/>
          <w:spacing w:val="0"/>
          <w:kern w:val="0"/>
          <w:sz w:val="36"/>
          <w:szCs w:val="36"/>
          <w:bdr w:val="none" w:color="auto" w:sz="0" w:space="0"/>
          <w:lang w:val="en-US" w:eastAsia="zh-CN" w:bidi="ar"/>
        </w:rPr>
      </w:pPr>
      <w:r>
        <w:rPr>
          <w:rFonts w:hint="eastAsia" w:ascii="方正小标宋简体" w:hAnsi="方正小标宋简体" w:eastAsia="方正小标宋简体" w:cs="方正小标宋简体"/>
          <w:i w:val="0"/>
          <w:iCs w:val="0"/>
          <w:caps w:val="0"/>
          <w:color w:val="3D3C3C"/>
          <w:spacing w:val="0"/>
          <w:kern w:val="0"/>
          <w:sz w:val="36"/>
          <w:szCs w:val="36"/>
          <w:bdr w:val="none" w:color="auto" w:sz="0" w:space="0"/>
          <w:lang w:val="en-US" w:eastAsia="zh-CN" w:bidi="ar"/>
        </w:rPr>
        <w:t>奈曼旗自然资源局2021年政府信息公开工作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55" w:beforeAutospacing="0" w:after="0" w:afterAutospacing="0" w:line="200" w:lineRule="exact"/>
        <w:ind w:left="0" w:right="0" w:firstLine="0"/>
        <w:jc w:val="center"/>
        <w:textAlignment w:val="auto"/>
        <w:rPr>
          <w:rFonts w:hint="eastAsia" w:ascii="方正小标宋简体" w:hAnsi="方正小标宋简体" w:eastAsia="方正小标宋简体" w:cs="方正小标宋简体"/>
          <w:i w:val="0"/>
          <w:iCs w:val="0"/>
          <w:caps w:val="0"/>
          <w:color w:val="3D3C3C"/>
          <w:spacing w:val="0"/>
          <w:sz w:val="36"/>
          <w:szCs w:val="36"/>
        </w:rPr>
      </w:pPr>
      <w:r>
        <w:rPr>
          <w:rFonts w:hint="eastAsia" w:ascii="方正小标宋简体" w:hAnsi="方正小标宋简体" w:eastAsia="方正小标宋简体" w:cs="方正小标宋简体"/>
          <w:i w:val="0"/>
          <w:iCs w:val="0"/>
          <w:caps w:val="0"/>
          <w:color w:val="3D3C3C"/>
          <w:spacing w:val="0"/>
          <w:kern w:val="0"/>
          <w:sz w:val="36"/>
          <w:szCs w:val="36"/>
          <w:bdr w:val="none" w:color="auto" w:sz="0" w:space="0"/>
          <w:lang w:val="en-US" w:eastAsia="zh-CN" w:bidi="ar"/>
        </w:rPr>
        <w:t>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根据奈曼旗政务公开工作领导小组办公室《关于做好2021年度政府信息公开工作年度报告有关工作的通知》文件要求，奈曼旗自然资源局2021年度政府信息公开工作年度报告如下。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pPr>
      <w:r>
        <w:rPr>
          <w:rFonts w:hint="eastAsia" w:ascii="宋体" w:hAnsi="宋体" w:eastAsia="宋体" w:cs="宋体"/>
          <w:b/>
          <w:bCs/>
          <w:i w:val="0"/>
          <w:iCs w:val="0"/>
          <w:caps w:val="0"/>
          <w:color w:val="333333"/>
          <w:spacing w:val="0"/>
          <w:sz w:val="24"/>
          <w:szCs w:val="24"/>
          <w:bdr w:val="none" w:color="auto" w:sz="0" w:space="0"/>
          <w:shd w:val="clear" w:fill="FFFFFF"/>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坚持以习近平新时代中国特色社会主义思想为指导，全面贯彻党的十九大和十九届二中、三中、四中、五中、六中全会精神，牢固树立“四个意识”，坚定“四个自信”，坚决做到“两个维护”。2021年我局高度重视，并严格按照《中华人民共和国政府信息公开条例》有关要求，认真开展政府信息公开工作。2021年1月1日---2021年12月31日我局共完善机关规章制度0条，新公开数量6条，行政许可10条，行政处罚120条，政策解读2条。我局在政务公开机制建设过程中一是加强组织领导。成立以党组书记、局长为组长,各分管领导为副组长,各股室中心队所负责人为成员的政务公开工作领导小组。领导小组下设办公室在局办公室,工作由主要领导统筹,分管领导主要抓,办公室安排专人负责政府信息公开相关工作,其他部门积极配合提供公开材料等。二是完善工作制度。根据旗政府相关文件，制定了局信息公开指南和信息公开相关配套制度等文件,进一步促进了我局政府信息公开工作制度化、规范化发展。完成了我局对信息公开审查制度内容和落实情况的自查工作和公开信息清查工作,未发现涉密信息被主动公开。三是加强信息管理。加强政务信息日常管理,不断完善相关制度。我单位政务公开前严格把关,层层审核的原则进行公开。由各股室负责人报送,分管领导审核,最后由局办公室统一公开。做到层层把关,杜绝出现严重错误,并以“上网不涉密 涉密不上网”的原则进行公开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pPr>
      <w:r>
        <w:rPr>
          <w:rFonts w:hint="eastAsia" w:ascii="宋体" w:hAnsi="宋体" w:eastAsia="宋体" w:cs="宋体"/>
          <w:b/>
          <w:bCs/>
          <w:i w:val="0"/>
          <w:iCs w:val="0"/>
          <w:caps w:val="0"/>
          <w:color w:val="333333"/>
          <w:spacing w:val="0"/>
          <w:sz w:val="24"/>
          <w:szCs w:val="24"/>
          <w:bdr w:val="none" w:color="auto" w:sz="0" w:space="0"/>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w:t>
            </w:r>
            <w:r>
              <w:rPr>
                <w:rFonts w:hint="eastAsia" w:ascii="宋体" w:hAnsi="宋体" w:eastAsia="宋体" w:cs="宋体"/>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现行有效件</w:t>
            </w:r>
            <w:r>
              <w:rPr>
                <w:rFonts w:hint="eastAsia" w:ascii="宋体" w:hAnsi="宋体" w:eastAsia="宋体" w:cs="宋体"/>
                <w:kern w:val="0"/>
                <w:sz w:val="20"/>
                <w:szCs w:val="20"/>
                <w:bdr w:val="none" w:color="auto" w:sz="0" w:space="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宋体"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i w:val="0"/>
          <w:iCs w:val="0"/>
          <w:caps w:val="0"/>
          <w:color w:val="000000"/>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1"/>
        <w:jc w:val="both"/>
      </w:pPr>
      <w:r>
        <w:rPr>
          <w:rFonts w:hint="eastAsia" w:ascii="宋体" w:hAnsi="宋体" w:eastAsia="宋体" w:cs="宋体"/>
          <w:b/>
          <w:bCs/>
          <w:i w:val="0"/>
          <w:iCs w:val="0"/>
          <w:caps w:val="0"/>
          <w:color w:val="333333"/>
          <w:spacing w:val="0"/>
          <w:sz w:val="24"/>
          <w:szCs w:val="24"/>
          <w:bdr w:val="none" w:color="auto" w:sz="0" w:space="0"/>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714" w:type="dxa"/>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企业</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机构</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tc>
        <w:tc>
          <w:tcPr>
            <w:tcW w:w="714" w:type="dxa"/>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（一）予以公开</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436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（三）不予公开</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1.属于国家秘密</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2.其他法律行政法规禁止公开</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3.危及“三安全一稳定”</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4.保护第三方合法权益</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5.属于三类内部事务信息</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6.属于四类过程性信息</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7.属于行政执法案卷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8.属于行政查询事项</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（四）无法提供</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1.本机关不掌握相关政府信息</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2.没有现成信息需要另行制作</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3.补正后申请内容仍不明确</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（五）不予处理</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1.信访举报投诉类申请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2.重复申请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3.要求提供公开出版物</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4.无正当理由大量反复申请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（六）其他处理</w:t>
            </w:r>
          </w:p>
        </w:tc>
        <w:tc>
          <w:tcPr>
            <w:tcW w:w="340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95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340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3.其他</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bdr w:val="none" w:color="auto" w:sz="0" w:space="0"/>
                <w:lang w:val="en-US" w:eastAsia="zh-CN" w:bidi="ar"/>
              </w:rPr>
              <w:t> </w:t>
            </w:r>
          </w:p>
        </w:tc>
        <w:tc>
          <w:tcPr>
            <w:tcW w:w="436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（七）总计</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i w:val="0"/>
                <w:iCs w:val="0"/>
                <w:caps w:val="0"/>
                <w:color w:val="000000"/>
                <w:spacing w:val="0"/>
                <w:kern w:val="0"/>
                <w:sz w:val="20"/>
                <w:szCs w:val="20"/>
                <w:bdr w:val="none" w:color="auto" w:sz="0" w:space="0"/>
                <w:shd w:val="clear" w:fill="FFFFFF"/>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w:t>
            </w:r>
          </w:p>
        </w:tc>
      </w:tr>
    </w:tbl>
    <w:p>
      <w:pPr>
        <w:keepNext w:val="0"/>
        <w:keepLines w:val="0"/>
        <w:widowControl/>
        <w:suppressLineNumbers w:val="0"/>
        <w:pBdr>
          <w:top w:val="single" w:color="F1F1F1" w:sz="2" w:space="0"/>
          <w:left w:val="single" w:color="F1F1F1" w:sz="2" w:space="0"/>
          <w:bottom w:val="single" w:color="F1F1F1" w:sz="2" w:space="0"/>
          <w:right w:val="single" w:color="F1F1F1" w:sz="2"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1"/>
        <w:jc w:val="both"/>
      </w:pPr>
      <w:r>
        <w:rPr>
          <w:rFonts w:hint="eastAsia" w:ascii="宋体" w:hAnsi="宋体" w:eastAsia="宋体" w:cs="宋体"/>
          <w:b/>
          <w:bCs/>
          <w:i w:val="0"/>
          <w:iCs w:val="0"/>
          <w:caps w:val="0"/>
          <w:color w:val="333333"/>
          <w:spacing w:val="0"/>
          <w:sz w:val="24"/>
          <w:szCs w:val="24"/>
          <w:bdr w:val="none" w:color="auto" w:sz="0" w:space="0"/>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结果维持</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维持</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总计</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维持</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bdr w:val="none" w:color="auto" w:sz="0" w:space="0"/>
                <w:lang w:val="en-US" w:eastAsia="zh-CN" w:bidi="ar"/>
              </w:rPr>
              <w:t>0</w:t>
            </w:r>
            <w:r>
              <w:rPr>
                <w:rFonts w:hint="eastAsia" w:ascii="宋体" w:hAnsi="宋体" w:eastAsia="宋体" w:cs="宋体"/>
                <w:kern w:val="0"/>
                <w:sz w:val="20"/>
                <w:szCs w:val="20"/>
                <w:bdr w:val="none" w:color="auto" w:sz="0" w:space="0"/>
                <w:lang w:val="en-US" w:eastAsia="zh-CN" w:bidi="ar"/>
              </w:rPr>
              <w:t>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r>
              <w:rPr>
                <w:rFonts w:hint="eastAsia" w:ascii="宋体" w:hAnsi="宋体" w:eastAsia="宋体" w:cs="宋体"/>
                <w:kern w:val="0"/>
                <w:sz w:val="20"/>
                <w:szCs w:val="20"/>
                <w:bdr w:val="none" w:color="auto" w:sz="0" w:space="0"/>
                <w:lang w:val="en-US" w:eastAsia="zh-CN" w:bidi="ar"/>
              </w:rPr>
              <w:t>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eastAsiaTheme="minorEastAsia"/>
                <w:kern w:val="0"/>
                <w:sz w:val="21"/>
                <w:szCs w:val="21"/>
                <w:bdr w:val="none" w:color="auto" w:sz="0" w:space="0"/>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i w:val="0"/>
          <w:iCs w:val="0"/>
          <w:caps w:val="0"/>
          <w:color w:val="000000"/>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1"/>
        <w:jc w:val="both"/>
      </w:pPr>
      <w:r>
        <w:rPr>
          <w:rFonts w:hint="eastAsia" w:ascii="宋体" w:hAnsi="宋体" w:eastAsia="宋体" w:cs="宋体"/>
          <w:b/>
          <w:bCs/>
          <w:i w:val="0"/>
          <w:iCs w:val="0"/>
          <w:caps w:val="0"/>
          <w:color w:val="333333"/>
          <w:spacing w:val="0"/>
          <w:sz w:val="24"/>
          <w:szCs w:val="24"/>
          <w:bdr w:val="none" w:color="auto" w:sz="0" w:space="0"/>
          <w:shd w:val="clear"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存在问题：一是主动公开的工作力度有待加强，主动公开信息数量偏少；二是政务公开渠道不够丰富，目前除网站之外的其它渠道公开的信息较少。三是政务公开内容还需凸显重点和特色，针对一些群众关心的热点工作要进一步加大公开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改进计划：一是强化平台建设，增强公开实效。及时公开和发布各项工作的审批流程。二是完善工作机制，突出热点信息公开，加强热点信息的公开力度，在贴近群众上下功夫，使群众及时获取和使用政府信息。三是加强学习和培训。提高全员的公开意识，提升办理人员的专业水平和业务能力。加强学习《中华人民共和国政府信息公开条例》等规章制度，强化掌握政策解读的内涵、范围，提</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高政策解读工作的科学性、权威性、针对性。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六、其他需要报告的事项</w:t>
      </w:r>
      <w:r>
        <w:rPr>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 </w:t>
      </w:r>
      <w:r>
        <w:rPr>
          <w:rFonts w:ascii="仿宋" w:hAnsi="仿宋" w:eastAsia="仿宋" w:cs="仿宋"/>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pPr>
      <w:r>
        <w:rPr>
          <w:rFonts w:hint="eastAsia" w:ascii="宋体" w:hAnsi="宋体" w:eastAsia="宋体" w:cs="宋体"/>
          <w:i w:val="0"/>
          <w:iCs w:val="0"/>
          <w:caps w:val="0"/>
          <w:color w:val="333333"/>
          <w:spacing w:val="0"/>
          <w:sz w:val="24"/>
          <w:szCs w:val="24"/>
          <w:bdr w:val="none" w:color="auto" w:sz="0" w:space="0"/>
          <w:shd w:val="clear" w:fill="FFFFFF"/>
        </w:rPr>
        <w:t>（一）2021年度奈曼旗政府信息公开申请办理未发生收取信息处理费情况。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（二）落实政务公开工作要点情况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我局根据《中华人民共和国政府信息公开条例》要求，认真贯彻落实政务公开各项工作，及时、准确地向社会公开政府信息。2021年1月1日---2021年12月31日我局共完善机关规章制度0条，新公开数量6条，行政许可10条，行政处罚120条，政策解读2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150621F4"/>
    <w:rsid w:val="150621F4"/>
    <w:rsid w:val="7217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4</Pages>
  <Words>2055</Words>
  <Characters>2120</Characters>
  <Lines>0</Lines>
  <Paragraphs>0</Paragraphs>
  <TotalTime>1</TotalTime>
  <ScaleCrop>false</ScaleCrop>
  <LinksUpToDate>false</LinksUpToDate>
  <CharactersWithSpaces>2186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2022-08-29T03:50:00Z</dcterms:created>
  <dc:creator>a你是风景我为流年</dc:creator>
  <cp:lastModifiedBy>a你是风景我为流年</cp:lastModifiedBy>
  <dcterms:modified xsi:type="dcterms:W3CDTF">2022-08-29T03:52:36Z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007C0DE00C58417AA4632832C720162E</vt:lpwstr>
  </property>
</Properties>
</file>