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奈曼旗耕地轮作工作领导小组名单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包连山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旗委副书记、旗人民政府旗长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韩占峰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旗委常委、旗人民政府副旗长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欣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旗农牧和科技局局长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邢永明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旗财政局局长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王洪民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旗审计局局长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王景和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旗农牧和科技局副局长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</w:t>
      </w:r>
      <w:r>
        <w:rPr>
          <w:rFonts w:ascii="仿宋_GB2312" w:hAnsi="Times New Roman" w:eastAsia="仿宋_GB2312" w:cs="Times New Roman"/>
          <w:color w:val="0000FF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蒋翠艳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大沁他拉镇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崔玉波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八仙筒镇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罗立威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青龙山镇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王德祥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新镇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赵忠豪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治安镇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路凤海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东明镇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林万志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沙日浩来镇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张玲</w:t>
      </w:r>
      <w:r>
        <w:rPr>
          <w:rFonts w:hint="default" w:ascii="仿宋_GB2312" w:hAnsi="Times New Roman" w:eastAsia="仿宋_GB2312" w:cs="Times New Roman"/>
          <w:sz w:val="32"/>
          <w:szCs w:val="32"/>
        </w:rPr>
        <w:t>忠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义隆永镇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包小敏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土城子乡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赵洪博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苇莲苏乡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莫日根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固日班花苏木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白笑宇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白音他拉苏木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  鹏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明仁苏木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李紫臣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黄花塔拉苏木</w:t>
      </w:r>
      <w:r>
        <w:rPr>
          <w:rFonts w:hint="default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eastAsia="仿宋_GB2312" w:cs="Times New Roman"/>
          <w:sz w:val="32"/>
          <w:szCs w:val="32"/>
        </w:rPr>
        <w:t>张殿立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六号农场场长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导小组下设办公室在旗农牧和科技局，办公室主任：李欣（兼），办公室副主任：王景和（兼）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47352E69"/>
    <w:rsid w:val="4735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line="620" w:lineRule="exact"/>
      <w:ind w:firstLine="880" w:firstLineChars="200"/>
      <w:jc w:val="both"/>
      <w:outlineLvl w:val="0"/>
    </w:pPr>
    <w:rPr>
      <w:rFonts w:ascii="Arial" w:hAnsi="Arial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2022-06-24T07:55:00Z</dcterms:created>
  <dc:creator>长岛冰茶</dc:creator>
  <cp:lastModifiedBy>长岛冰茶</cp:lastModifiedBy>
  <dcterms:modified xsi:type="dcterms:W3CDTF">2022-06-24T07:55:40Z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A637F3B8617F41E982A2F65A5F61AD68</vt:lpwstr>
  </property>
</Properties>
</file>