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关于刘冬梅非公证继承首次登记的公告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请自本公告之日起十五个工作日内（2022年08月29日之前）将异议书面材料送达我机构。公示期满无异议或异议不成立的，我机构将予以登记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699"/>
        <w:gridCol w:w="743"/>
        <w:gridCol w:w="3650"/>
        <w:gridCol w:w="1076"/>
        <w:gridCol w:w="590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奈曼旗大沁他拉镇光明社区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150525100104GB01017F00010001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土地：345.62㎡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房屋：136.31㎡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被继承人：刘照祥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8C91F3A"/>
    <w:rsid w:val="48C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2022-08-08T09:24:00Z</dcterms:created>
  <dc:creator>a你是风景我为流年</dc:creator>
  <cp:lastModifiedBy>a你是风景我为流年</cp:lastModifiedBy>
  <dcterms:modified xsi:type="dcterms:W3CDTF">2022-08-08T09:24:24Z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7E2333BC7DD1418FA52D413D987070F0</vt:lpwstr>
  </property>
</Properties>
</file>