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28"/>
          <w:szCs w:val="28"/>
          <w:lang w:eastAsia="zh-CN"/>
        </w:rPr>
      </w:pPr>
      <w:bookmarkStart w:id="0" w:name="_GoBack"/>
      <w:bookmarkEnd w:id="0"/>
      <w:r>
        <w:rPr>
          <w:rFonts w:hint="eastAsia" w:ascii="黑体" w:hAnsi="黑体" w:eastAsia="黑体" w:cs="黑体"/>
          <w:sz w:val="28"/>
          <w:szCs w:val="28"/>
          <w:lang w:eastAsia="zh-CN"/>
        </w:rPr>
        <w:t>附件</w:t>
      </w:r>
    </w:p>
    <w:p>
      <w:pPr>
        <w:keepNext w:val="0"/>
        <w:keepLines w:val="0"/>
        <w:pageBreakBefore w:val="0"/>
        <w:widowControl/>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奈曼旗</w:t>
      </w:r>
      <w:r>
        <w:rPr>
          <w:rFonts w:hint="eastAsia" w:ascii="方正小标宋简体" w:hAnsi="方正小标宋简体" w:eastAsia="方正小标宋简体" w:cs="方正小标宋简体"/>
          <w:sz w:val="44"/>
          <w:szCs w:val="44"/>
        </w:rPr>
        <w:t>2022年政务公开工作要点任务台账</w:t>
      </w:r>
    </w:p>
    <w:tbl>
      <w:tblPr>
        <w:tblStyle w:val="4"/>
        <w:tblW w:w="137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
        <w:gridCol w:w="901"/>
        <w:gridCol w:w="653"/>
        <w:gridCol w:w="2494"/>
        <w:gridCol w:w="4670"/>
        <w:gridCol w:w="2325"/>
        <w:gridCol w:w="139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2" w:hRule="atLeast"/>
          <w:tblHeader/>
        </w:trPr>
        <w:tc>
          <w:tcPr>
            <w:tcW w:w="9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任务名称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具体任务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b/>
                <w:bCs/>
                <w:i w:val="0"/>
                <w:color w:val="C00000"/>
                <w:kern w:val="0"/>
                <w:sz w:val="24"/>
                <w:szCs w:val="24"/>
                <w:u w:val="none"/>
                <w:lang w:val="en-US" w:eastAsia="zh-CN" w:bidi="ar"/>
              </w:rPr>
            </w:pPr>
            <w:r>
              <w:rPr>
                <w:rFonts w:hint="eastAsia" w:ascii="黑体" w:hAnsi="宋体" w:eastAsia="黑体" w:cs="黑体"/>
                <w:b/>
                <w:bCs/>
                <w:i w:val="0"/>
                <w:color w:val="C00000"/>
                <w:kern w:val="0"/>
                <w:sz w:val="24"/>
                <w:szCs w:val="24"/>
                <w:u w:val="none"/>
                <w:lang w:val="en-US" w:eastAsia="zh-CN" w:bidi="ar"/>
              </w:rPr>
              <w:t>具体措施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时限要求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（一）做好政策文件集中公开。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1.司法局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旗政务公开工作主管部门、政府办公室、司法局牵头，旗政府各委办局负责落实；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进一步完善政策文件分类展示，调整优化主题划分，提升政策文件公开质量。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spacing w:val="-11"/>
                <w:kern w:val="0"/>
                <w:sz w:val="16"/>
                <w:szCs w:val="16"/>
                <w:u w:val="none"/>
                <w:lang w:val="en-US" w:eastAsia="zh-CN" w:bidi="ar"/>
              </w:rPr>
            </w:pPr>
            <w:r>
              <w:rPr>
                <w:rFonts w:hint="eastAsia" w:ascii="宋体" w:hAnsi="宋体" w:eastAsia="宋体" w:cs="宋体"/>
                <w:b/>
                <w:bCs/>
                <w:i w:val="0"/>
                <w:color w:val="C00000"/>
                <w:spacing w:val="-11"/>
                <w:kern w:val="0"/>
                <w:sz w:val="16"/>
                <w:szCs w:val="16"/>
                <w:u w:val="none"/>
                <w:lang w:val="en-US" w:eastAsia="zh-CN" w:bidi="ar"/>
              </w:rPr>
              <w:t>1.</w:t>
            </w:r>
            <w:r>
              <w:rPr>
                <w:rFonts w:hint="eastAsia" w:ascii="Arial" w:hAnsi="Arial" w:eastAsia="宋体" w:cs="Arial"/>
                <w:b/>
                <w:bCs/>
                <w:i w:val="0"/>
                <w:color w:val="C00000"/>
                <w:spacing w:val="-11"/>
                <w:kern w:val="0"/>
                <w:sz w:val="16"/>
                <w:szCs w:val="16"/>
                <w:u w:val="none"/>
                <w:lang w:val="en-US" w:eastAsia="zh-CN" w:bidi="ar"/>
              </w:rPr>
              <w:t>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旗政务公开办牵头，旗政府各委办局负责落实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（二）加强政策集中公开成果运用。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制定政策库多维度标签体系，通过“蒙企通”等企业库基础数据和政务服务用户行为分析，推动实现涉企政策线上线下精准推送。</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提升政府网站集约化平台大数据分析能力，以政策文件库和政务服务事项办事指南为依托，推动建设政策文件智</w:t>
            </w:r>
            <w:r>
              <w:rPr>
                <w:rFonts w:hint="eastAsia" w:ascii="宋体" w:hAnsi="宋体" w:eastAsia="宋体" w:cs="宋体"/>
                <w:i w:val="0"/>
                <w:color w:val="C00000"/>
                <w:kern w:val="0"/>
                <w:sz w:val="16"/>
                <w:szCs w:val="16"/>
                <w:u w:val="none"/>
                <w:lang w:val="en-US" w:eastAsia="zh-CN" w:bidi="ar"/>
              </w:rPr>
              <w:t>能问答数据库。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1.行政审批和政务服务局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旗行政审批和政务服务局牵头，旗政府各委办局负责落实；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（三）优化政策咨询综合服务。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持续做好重大政策发布解读回应工作，全面推广“政策专员”工作机制和政策例行吹风会等形式，切实提高政策解读质量和政策解读工作的连续性。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旗12345政务服务便民热线主管部门、卫生健康、教育、人力资源社会保障、民政、医疗、税务等部门负责落实；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依托智能化搜索平台，加快建设统一的智能化政策问答平台，实现数据互联共享和同步更新。</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（四）持续做好疫情防控信息公开。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严格执行疫情防控信息发布各项制度，继续做好各地区疫情防控政策措施常规报送和在中国政府网“各地疫情防控政策措施”专栏上的更新工作。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7"/>
                <w:kern w:val="0"/>
                <w:sz w:val="16"/>
                <w:szCs w:val="16"/>
                <w:u w:val="none"/>
                <w:lang w:val="en-US" w:eastAsia="zh-CN" w:bidi="ar"/>
              </w:rPr>
              <w:t>旗卫生健康委员会、政府网站工作主管部门负责落实；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加强疫情防控信息发布工作协调衔接，形成多方协同的工作合力。进一步规范流调信息发布和管理，保护好个人隐私，避免对相关人员正常生活产生不当影响。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3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（五）加强就业创业信息公开。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高校毕业生、退役军人、失业人员等重点群体就业，做好政策公开、宣讲和推送工作，提升灵活就业劳动用工和社保政策的发布解读质量，加大新就业形态劳动者劳动保障信息公开力度，畅通维权和咨询投诉渠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1.教育体育局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2.退役军人事务局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旗教育体育局、退役军人事务局、人力资源社会保障局等相关部门负责落实；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3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深化“创业内蒙古行动”，及时发布职业技能培训信息，通过政府门户网站和政务新媒体推广智慧就业服务平台，让更多群众能够知悉并获取就业培训相关信息。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旗人力资源社会保障局及相关部门负责落实；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做好失业保险基金使用情况动态公开。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1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（六）深化生态环境领域信息公开。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持续做好大气、水、土壤环境质量，建设项目环境影响评价和生态环境相关监督检查结果等信息公开。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旗生态环境局及其相关部门负责落实；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3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及时发布生态环境保护和高质量发展、深入打好污染防治攻坚战、持续改善生态环境质量等方面权威信息。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1"/>
                <w:kern w:val="0"/>
                <w:sz w:val="16"/>
                <w:szCs w:val="16"/>
                <w:u w:val="none"/>
                <w:lang w:val="en-US" w:eastAsia="zh-CN" w:bidi="ar"/>
              </w:rPr>
              <w:t>旗发展的改革委员会、生态环境局及相关部门负责落实；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聚焦重点区域深入实施国土绿化和防沙治沙、环境问题整治、深度节水控水、重点河湖湿地综合治理等工作，发挥以公开促落实促规范促服务作用，推进生态环境持续改善。</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4.水务局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旗发展和改革委员会、自然资源局、生态环境局、水务局、林草局及相关部门负责落实；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9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做好中央第三生态环境保护督察组交办群众信访举报件办理情况的公开工作。</w:t>
            </w: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spacing w:val="-11"/>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7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（七）推进公共企事业单位信息公开。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18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严格执行《供电企业信息公开实施办法》《医疗卫生机构信息公开管理办法》《公共交通企业信息公开规定》等已出台的公共企事业单位信息公开制度，深入推进公共企事业单位信息公开。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1.奈曼旗供电公司</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3.交通局</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kern w:val="0"/>
                <w:sz w:val="16"/>
                <w:szCs w:val="16"/>
                <w:u w:val="none"/>
                <w:lang w:val="en-US" w:eastAsia="zh-CN" w:bidi="ar"/>
              </w:rPr>
            </w:pPr>
            <w:r>
              <w:rPr>
                <w:rFonts w:hint="eastAsia" w:ascii="宋体" w:hAnsi="宋体" w:eastAsia="宋体" w:cs="宋体"/>
                <w:b w:val="0"/>
                <w:bCs w:val="0"/>
                <w:i w:val="0"/>
                <w:color w:val="C00000"/>
                <w:kern w:val="0"/>
                <w:sz w:val="16"/>
                <w:szCs w:val="16"/>
                <w:u w:val="none"/>
                <w:lang w:val="en-US" w:eastAsia="zh-CN" w:bidi="ar"/>
              </w:rPr>
              <w:t>旗级相关主管部门牵头落实；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sz w:val="16"/>
                <w:szCs w:val="16"/>
                <w:u w:val="none"/>
              </w:rPr>
            </w:pPr>
            <w:r>
              <w:rPr>
                <w:rFonts w:hint="eastAsia" w:ascii="宋体" w:hAnsi="宋体" w:eastAsia="宋体" w:cs="宋体"/>
                <w:i w:val="0"/>
                <w:color w:val="C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r>
              <w:rPr>
                <w:rFonts w:hint="default" w:ascii="Arial" w:hAnsi="Arial" w:eastAsia="宋体" w:cs="Arial"/>
                <w:i w:val="0"/>
                <w:color w:val="C00000"/>
                <w:kern w:val="0"/>
                <w:sz w:val="16"/>
                <w:szCs w:val="16"/>
                <w:u w:val="none"/>
                <w:lang w:val="en-US" w:eastAsia="zh-CN" w:bidi="ar"/>
              </w:rPr>
              <w:t>2022</w:t>
            </w:r>
            <w:r>
              <w:rPr>
                <w:rFonts w:hint="eastAsia" w:ascii="宋体" w:hAnsi="宋体" w:eastAsia="宋体" w:cs="宋体"/>
                <w:i w:val="0"/>
                <w:color w:val="C00000"/>
                <w:kern w:val="0"/>
                <w:sz w:val="16"/>
                <w:szCs w:val="16"/>
                <w:u w:val="none"/>
                <w:lang w:val="en-US" w:eastAsia="zh-CN" w:bidi="ar"/>
              </w:rPr>
              <w:t>年</w:t>
            </w:r>
            <w:r>
              <w:rPr>
                <w:rFonts w:hint="default" w:ascii="Arial" w:hAnsi="Arial" w:eastAsia="宋体" w:cs="Arial"/>
                <w:i w:val="0"/>
                <w:color w:val="C00000"/>
                <w:kern w:val="0"/>
                <w:sz w:val="16"/>
                <w:szCs w:val="16"/>
                <w:u w:val="none"/>
                <w:lang w:val="en-US" w:eastAsia="zh-CN" w:bidi="ar"/>
              </w:rPr>
              <w:t>9</w:t>
            </w:r>
            <w:r>
              <w:rPr>
                <w:rFonts w:hint="eastAsia" w:ascii="宋体" w:hAnsi="宋体" w:eastAsia="宋体" w:cs="宋体"/>
                <w:i w:val="0"/>
                <w:color w:val="C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C00000"/>
                <w:sz w:val="16"/>
                <w:szCs w:val="16"/>
                <w:u w:val="none"/>
              </w:rPr>
            </w:pPr>
            <w:r>
              <w:rPr>
                <w:rFonts w:hint="eastAsia" w:ascii="宋体" w:hAnsi="宋体" w:eastAsia="宋体" w:cs="宋体"/>
                <w:i w:val="0"/>
                <w:color w:val="C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19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C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85" w:hRule="atLeast"/>
        </w:trPr>
        <w:tc>
          <w:tcPr>
            <w:tcW w:w="9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（八）优化民生领域信息公开。</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1.民政局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2.应急管理局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3.市场监督管理局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4.教育体育局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5.卫生健康委员会</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6.乡村振兴局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7.文化和旅游局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8.财政局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9.各苏木乡镇（街道、场）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民政、应急管理、市场监管、教育、卫生健康、乡村振兴、文化旅游、财政等部门负责落实；</w:t>
            </w:r>
          </w:p>
        </w:tc>
        <w:tc>
          <w:tcPr>
            <w:tcW w:w="13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14" w:hRule="atLeast"/>
        </w:trPr>
        <w:tc>
          <w:tcPr>
            <w:tcW w:w="9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优化政府门户网站相应栏目设置，确保栏目定位清晰，信息发布准确。</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spacing w:val="-17"/>
                <w:kern w:val="0"/>
                <w:sz w:val="16"/>
                <w:szCs w:val="16"/>
                <w:u w:val="none"/>
                <w:lang w:val="en-US" w:eastAsia="zh-CN" w:bidi="ar"/>
              </w:rPr>
              <w:t>旗政务公开办</w:t>
            </w: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1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（九）营造公平开放的市场环境。</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21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做好政府网站优化营商环境政策集中公开，推进惠民利企政策措施精准推送，政策起草部门要公开相关统计数据和政策落实情况。</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旗政务公开办牵头，旗政府相关委办局落实；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1"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开展优化营商环境方面的意见建议征集和结果反馈，促进以更优营商环境服务市场主体工作。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主动公开市场监管规则标准，动态更新市场准入负面清单，依法做好执法信息公开。</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旗发改委、市场监管部门牵头，相关部门负责落实；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强化公共信用信息、反垄断和反不正当竞争执法信息公开，进一步规范执法监管行为，营造诚信守法、公平竞争的市场环境。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（十）推动企业降本增效。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加强减税降费信息公开，帮助基层执行机关和纳税人缴费人及时全面准确了解政策，以减税降费信息公开到位，推动减税降费政策执行到位。</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4.税务局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旗发改委、财政、人社，税务等部门负责落实；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加强政策宣传和咨询服务，通过12366纳税服务热线、移动客户端、办税服务厅、政务服务场所等线上线下多种渠道宣传优惠政策，确保政策措施应知尽知、应享尽享。</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2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推进重大税收违法失信案件信息公开，依法依规开展联合惩戒，引导市场主体规范健康发展。</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（十一）助力扩大有效投资。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围绕规划重大项目、年度重点项目和基础设施建设，依法依规做好扩大有效投资相关规划、政策及重大建设项目信息公开。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旗发改委、区域经济合作与金融服务局等部门牵头，旗政府相关委办局负责落实。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7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聚焦推进项目建设、促进工业技改、先进制造业、新兴产业和创新成果转化等方面，加大工作成效的对外发布解读力度。以“常态化走出去、精准化引进来”为重点，切实提升招商引资政策的公开质量。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8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及时回应社会公众对重大建设项目的关切，以发布解读的“透”，引导市场预期的“稳”，助力扩大有效投资。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4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（十二）促进消费扩容升级。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切实做好对中小微企业、个体工商户、相关服务业支持政策和促进消费政策措施的公开工作。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旗发展和改革委员会、工业和信息化</w:t>
            </w:r>
            <w:r>
              <w:rPr>
                <w:rFonts w:hint="eastAsia" w:ascii="宋体" w:hAnsi="宋体" w:eastAsia="宋体" w:cs="宋体"/>
                <w:i w:val="0"/>
                <w:color w:val="FF0000"/>
                <w:kern w:val="0"/>
                <w:sz w:val="16"/>
                <w:szCs w:val="16"/>
                <w:u w:val="none"/>
                <w:lang w:val="en-US" w:eastAsia="zh-CN" w:bidi="ar"/>
              </w:rPr>
              <w:t>局奈曼旗区域经济合作与金融服务局</w:t>
            </w:r>
            <w:r>
              <w:rPr>
                <w:rFonts w:hint="eastAsia" w:ascii="宋体" w:hAnsi="宋体" w:eastAsia="宋体" w:cs="宋体"/>
                <w:i w:val="0"/>
                <w:color w:val="000000"/>
                <w:kern w:val="0"/>
                <w:sz w:val="16"/>
                <w:szCs w:val="16"/>
                <w:u w:val="none"/>
                <w:lang w:val="en-US" w:eastAsia="zh-CN" w:bidi="ar"/>
              </w:rPr>
              <w:t>、文化和旅游局、市场监督管理局等部门负责落实；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5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在推动假日消费、街区市场、门店商铺、夜间经济等方面，充分发挥政府信息公开和政策解读的引导指引作用。</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7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在扩大旅游消费、绿色农畜产品消费，促进新能源汽车推广应用，鼓励开展绿色智能家电下乡等方面，提供高效便捷的政策咨询服务，打击侵权假冒信息发布行为，营造良好的消费环境。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w:t>
            </w:r>
            <w:r>
              <w:rPr>
                <w:rFonts w:hint="eastAsia" w:ascii="宋体" w:hAnsi="宋体" w:eastAsia="宋体" w:cs="宋体"/>
                <w:i w:val="0"/>
                <w:color w:val="auto"/>
                <w:kern w:val="0"/>
                <w:sz w:val="16"/>
                <w:szCs w:val="16"/>
                <w:u w:val="none"/>
                <w:lang w:val="en-US" w:eastAsia="zh-CN" w:bidi="ar"/>
              </w:rPr>
              <w:t>信息化局奈曼旗区域经济合作与金融服务局、文</w:t>
            </w:r>
            <w:r>
              <w:rPr>
                <w:rFonts w:hint="eastAsia" w:ascii="宋体" w:hAnsi="宋体" w:eastAsia="宋体" w:cs="宋体"/>
                <w:i w:val="0"/>
                <w:color w:val="000000"/>
                <w:kern w:val="0"/>
                <w:sz w:val="16"/>
                <w:szCs w:val="16"/>
                <w:u w:val="none"/>
                <w:lang w:val="en-US" w:eastAsia="zh-CN" w:bidi="ar"/>
              </w:rPr>
              <w:t>化和旅游局、市场监督管理局等部门负责落实；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（十三）持续推进基层政务公开标准化规范化工作。</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根据新印发的广播电视、统计、新闻出版、旅游、自然资源等有关领域基层政务公开标准指引，继续更新完善基层政务公开事项标准目录，并及时向社会公开。</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1.旗委宣传部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3.统计局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5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严格按照基层政务公开事项标准目录公开要素内容，开展基层政务公开工作，做到应公开尽公开。</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旗人民政府要汇总当年面向农村牧区的各类惠民惠农惠牧财政补贴资金实际发放结果，年底前以嘎查（村）为单位通过村务公开栏公开，公示期满后在嘎查（村）委会建档留存，以便群众查询。</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37</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坚持需求导向，加强改进基层政府信息公开窗口建设，结合政务服务“就近办”改革，加强窗口人员业务培训，更好适应基层群众需求，提升电话解答、现场解答政策的水平。</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（十四）深化自治区政务公开地方标准应用工作。</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7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政务公开工作主管部门要切实做好政务公开地方标准落实情况“回头看”工作，逐项核查落实情况，确保工作实效。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2"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（十五）提升依申请公开规范化信息化水平。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进一步扩大自治区政府信息依申请公开系统在全旗的使用范围，提升全旗政府信息公开申请“一网通办”能力。</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6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3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（十六）发挥政府网站集约化平台作用。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积极推动市政府网站集约化平台与自治区统一信息资源库对接，实现数据互联融通。开展实施旗县市区政府门户网站改版优化工作，落实IPv6相关任务，着力提升数字政府建设。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旗政务公开工作领导小组办公室负责落实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旗政务公开工作领导小组办公室负责落实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 xml:space="preserve">12 </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0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加强政府网站内容管理，强化流程控制，提升专题专栏建设成效。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62"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严格落实网络意识形态责任制，开展等级保护测评工作，确保政府网站与政务新媒体安全平稳运行。</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0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（十七）加强对政务新媒体的建设管理。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旗政务新媒体工作主管部门要加强对本地区政务新媒体建设管理工作的指导监督，推进政务新媒体规范运行、健康有序发展。</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旗政务新媒体主管部门牵头，指导、推动、监督本地区各部门开展工作，旗政府各委办局负责落实；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6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明确政务新媒体功能定位，不断优化发布解读、政民互动、办事服务等功能，加强专题专栏建设，为企业和群众提供更便捷实用的移动服务。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5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严格落实内容发布审核制度，坚持分级分类审核、先审后发，明确审核主体、审核流程，原则上只转载党委和政府网站以及有关主管部门确定的稿源单位发布的信息。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4"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（十八）强化组织领导。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各地、各部门要切实加强组织领导，压实责任，健全机制，强化内部管理和工作衔接，确保信息发布、政策解读、回应关切等各项工作的连续性。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2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49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涉及基层政务公开标准化规范化工作和上级部门已印发相关企事业单位信息公开制度的部门要加强对相关工作的指导监督，落实主管部门责任，确保工作推进到位。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涉及基层政务公开标准化规范化工作的对口部门、公共企事业单位主管部门负责落实；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auto"/>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93"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各地、各部门政务公开工作领导小组要切实发挥作用，加强监督调度，提升政务公开工作水平。</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1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（十九）强化队伍建设。</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加强政务公开专业队伍建设，结合工作实际，通过集中培训、以会代训、日常指导等方式，提升政务公开工作队伍的业务水平和专业素质。</w:t>
            </w:r>
          </w:p>
        </w:tc>
        <w:tc>
          <w:tcPr>
            <w:tcW w:w="467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11</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00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12</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9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（二十）强化纪律建设。</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进一步规范政务公开第三方评估工作，市旗两级不开展政务公开第三方评估。</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旗级政务公开工作主管部门负责落实</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61"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不得与自治区委托的第三方评估机构开展政务公开咨询、培训、外包等业务合作。</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87"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市旗两级政务公开工作主管部门向社会公开发布排名结果或问题通报的，要按程序报本级行政机关主要负责人批准。</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333"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（二十一）强化监督保障</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2"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对出现不按时发布、发布内容不准确不全面或者内容雷同、敷衍塞责等问题并造成不良后果的，严肃追究有关责任人和直接责任人责任。</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17"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（二十二）强化工作落实</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58</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各地、各部门要对照本要点提出的重点任务，梳理形成单位工作台账，明确具体措施、责任主体和时限，逐项推动落实，并于本要点印发后5日内反馈旗政务公开工作领导小组办公室。</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7月中旬前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8"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59</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对上一年度工作要点落实情况开展“回头看”，未完成的要依法整改完成。</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6</w:t>
            </w:r>
            <w:r>
              <w:rPr>
                <w:rStyle w:val="11"/>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820" w:hRule="atLeast"/>
        </w:trPr>
        <w:tc>
          <w:tcPr>
            <w:tcW w:w="9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60</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要将本要点落实情况纳入政府信息公开工作年度报告予以公开，接受社会监督。</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bl>
    <w:p/>
    <w:sectPr>
      <w:headerReference r:id="rId5" w:type="default"/>
      <w:footerReference r:id="rId7" w:type="default"/>
      <w:headerReference r:id="rId6" w:type="even"/>
      <w:footerReference r:id="rId8" w:type="even"/>
      <w:pgSz w:w="15840" w:h="12240" w:orient="landscape"/>
      <w:pgMar w:top="1417" w:right="816" w:bottom="1191" w:left="816" w:header="720" w:footer="72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rotation:5898240f;z-index:251661312;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IufDI46AgAAcQQAAA4AAAAAAAAAAQAgAAAAHg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24"/>
      </w:rPr>
      <mc:AlternateContent>
        <mc:Choice Requires="wps">
          <w:drawing>
            <wp:anchor distT="0" distB="0" distL="114300" distR="114300" simplePos="0" relativeHeight="251659264" behindDoc="0" locked="0" layoutInCell="1" allowOverlap="1">
              <wp:simplePos x="0" y="0"/>
              <wp:positionH relativeFrom="margin">
                <wp:posOffset>-494665</wp:posOffset>
              </wp:positionH>
              <wp:positionV relativeFrom="paragraph">
                <wp:posOffset>514350</wp:posOffset>
              </wp:positionV>
              <wp:extent cx="539750" cy="264795"/>
              <wp:effectExtent l="137795" t="0" r="0" b="0"/>
              <wp:wrapNone/>
              <wp:docPr id="28" name="文本框 28"/>
              <wp:cNvGraphicFramePr/>
              <a:graphic xmlns:a="http://schemas.openxmlformats.org/drawingml/2006/main">
                <a:graphicData uri="http://schemas.microsoft.com/office/word/2010/wordprocessingShape">
                  <wps:wsp>
                    <wps:cNvSpPr txBox="1"/>
                    <wps:spPr>
                      <a:xfrm rot="5400000">
                        <a:off x="0" y="0"/>
                        <a:ext cx="5397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5pt;margin-top:40.5pt;height:20.85pt;width:42.5pt;mso-position-horizontal-relative:margin;rotation:5898240f;z-index:251659264;mso-width-relative:page;mso-height-relative:page;" filled="f" stroked="f" coordsize="21600,21600" o:gfxdata="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ZndYAAAAIAQAADwAAAAAAAAABACAAAAAiAAAAZHJz&#10;L2Rvd25yZXYueG1sUEsBAhQAFAAAAAgAh07iQLocqEA/AgAAcQQAAA4AAAAAAAAAAQAgAAAAJQEA&#10;AGRycy9lMm9Eb2MueG1sUEsFBgAAAAAGAAYAWQEAANYFAAAAAA==&#10;">
              <v:fill on="f" focussize="0,0"/>
              <v:stroke on="f" weight="0.5pt"/>
              <v:imagedata o:title=""/>
              <o:lock v:ext="edit" aspectratio="f"/>
              <v:textbox inset="0mm,0mm,0mm,0mm">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jcwZWM3YTk5YzI1MjMzY2VkMmI0NzFjMzgyOWEifQ=="/>
  </w:docVars>
  <w:rsids>
    <w:rsidRoot w:val="3F833C72"/>
    <w:rsid w:val="1BDA4502"/>
    <w:rsid w:val="23DF7027"/>
    <w:rsid w:val="26226EB3"/>
    <w:rsid w:val="289B0A2A"/>
    <w:rsid w:val="3F833C72"/>
    <w:rsid w:val="443F7874"/>
    <w:rsid w:val="45570BED"/>
    <w:rsid w:val="45CD0A92"/>
    <w:rsid w:val="45E56153"/>
    <w:rsid w:val="46F506BE"/>
    <w:rsid w:val="4842439A"/>
    <w:rsid w:val="4ACE3700"/>
    <w:rsid w:val="4D477799"/>
    <w:rsid w:val="4E092CA1"/>
    <w:rsid w:val="4FC13833"/>
    <w:rsid w:val="512B236D"/>
    <w:rsid w:val="5BD17C45"/>
    <w:rsid w:val="69FD14B4"/>
    <w:rsid w:val="6D50157F"/>
    <w:rsid w:val="77334767"/>
    <w:rsid w:val="7FB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character" w:styleId="6">
    <w:name w:val="Strong"/>
    <w:basedOn w:val="5"/>
    <w:qFormat/>
    <w:uiPriority w:val="0"/>
    <w:rPr>
      <w:b/>
    </w:rPr>
  </w:style>
  <w:style w:type="character" w:styleId="7">
    <w:name w:val="FollowedHyperlink"/>
    <w:basedOn w:val="5"/>
    <w:qFormat/>
    <w:uiPriority w:val="0"/>
    <w:rPr>
      <w:color w:val="333333"/>
      <w:sz w:val="18"/>
      <w:szCs w:val="18"/>
      <w:u w:val="none"/>
    </w:rPr>
  </w:style>
  <w:style w:type="character" w:styleId="8">
    <w:name w:val="Emphasis"/>
    <w:basedOn w:val="5"/>
    <w:qFormat/>
    <w:uiPriority w:val="0"/>
    <w:rPr>
      <w:i/>
    </w:rPr>
  </w:style>
  <w:style w:type="character" w:styleId="9">
    <w:name w:val="Hyperlink"/>
    <w:basedOn w:val="5"/>
    <w:qFormat/>
    <w:uiPriority w:val="0"/>
    <w:rPr>
      <w:color w:val="333333"/>
      <w:sz w:val="18"/>
      <w:szCs w:val="18"/>
      <w:u w:val="none"/>
    </w:rPr>
  </w:style>
  <w:style w:type="character" w:customStyle="1" w:styleId="10">
    <w:name w:val="font21"/>
    <w:basedOn w:val="5"/>
    <w:qFormat/>
    <w:uiPriority w:val="0"/>
    <w:rPr>
      <w:rFonts w:hint="eastAsia" w:ascii="宋体" w:hAnsi="宋体" w:eastAsia="宋体" w:cs="宋体"/>
      <w:color w:val="000000"/>
      <w:sz w:val="16"/>
      <w:szCs w:val="16"/>
      <w:u w:val="none"/>
    </w:rPr>
  </w:style>
  <w:style w:type="character" w:customStyle="1" w:styleId="11">
    <w:name w:val="font01"/>
    <w:basedOn w:val="5"/>
    <w:qFormat/>
    <w:uiPriority w:val="0"/>
    <w:rPr>
      <w:rFonts w:hint="default" w:ascii="Arial" w:hAnsi="Arial" w:cs="Arial"/>
      <w:color w:val="000000"/>
      <w:sz w:val="16"/>
      <w:szCs w:val="16"/>
      <w:u w:val="none"/>
    </w:rPr>
  </w:style>
  <w:style w:type="character" w:customStyle="1" w:styleId="12">
    <w:name w:val="font"/>
    <w:basedOn w:val="5"/>
    <w:qFormat/>
    <w:uiPriority w:val="0"/>
    <w:rPr>
      <w:color w:val="727272"/>
    </w:rPr>
  </w:style>
  <w:style w:type="character" w:customStyle="1" w:styleId="13">
    <w:name w:val="font1"/>
    <w:basedOn w:val="5"/>
    <w:qFormat/>
    <w:uiPriority w:val="0"/>
    <w:rPr>
      <w:color w:val="7272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7717</Words>
  <Characters>8031</Characters>
  <Lines>0</Lines>
  <Paragraphs>0</Paragraphs>
  <TotalTime>4</TotalTime>
  <ScaleCrop>false</ScaleCrop>
  <LinksUpToDate>false</LinksUpToDate>
  <CharactersWithSpaces>8042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2022-07-07T00:59:00Z</dcterms:created>
  <dc:creator>演示人</dc:creator>
  <cp:lastModifiedBy>a你是风景我为流年</cp:lastModifiedBy>
  <cp:lastPrinted>2022-07-11T03:24:00Z</cp:lastPrinted>
  <dcterms:modified xsi:type="dcterms:W3CDTF">2022-07-20T01:10:55Z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6419CCB53D2E4AB2978BFDD70C7CB942</vt:lpwstr>
  </property>
</Properties>
</file>