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60" w:lineRule="exact"/>
        <w:jc w:val="left"/>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附件</w:t>
      </w:r>
    </w:p>
    <w:p>
      <w:pPr>
        <w:keepNext w:val="0"/>
        <w:keepLines w:val="0"/>
        <w:pageBreakBefore w:val="0"/>
        <w:widowControl/>
        <w:kinsoku/>
        <w:wordWrap/>
        <w:overflowPunct/>
        <w:topLinePunct w:val="0"/>
        <w:autoSpaceDE/>
        <w:autoSpaceDN/>
        <w:bidi w:val="0"/>
        <w:adjustRightInd/>
        <w:snapToGrid/>
        <w:spacing w:after="0" w:line="560" w:lineRule="exact"/>
        <w:ind w:firstLine="880" w:firstLineChars="20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奈曼旗</w:t>
      </w:r>
      <w:r>
        <w:rPr>
          <w:rFonts w:hint="eastAsia" w:ascii="方正小标宋简体" w:hAnsi="方正小标宋简体" w:eastAsia="方正小标宋简体" w:cs="方正小标宋简体"/>
          <w:sz w:val="44"/>
          <w:szCs w:val="44"/>
        </w:rPr>
        <w:t>2022年政务公开工作要点任务台账</w:t>
      </w:r>
    </w:p>
    <w:bookmarkEnd w:id="0"/>
    <w:tbl>
      <w:tblPr>
        <w:tblStyle w:val="4"/>
        <w:tblW w:w="1377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
        <w:gridCol w:w="901"/>
        <w:gridCol w:w="653"/>
        <w:gridCol w:w="2494"/>
        <w:gridCol w:w="4670"/>
        <w:gridCol w:w="2325"/>
        <w:gridCol w:w="139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2" w:hRule="atLeast"/>
          <w:tblHeader/>
        </w:trPr>
        <w:tc>
          <w:tcPr>
            <w:tcW w:w="90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任务名称</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黑体" w:hAnsi="宋体" w:eastAsia="黑体" w:cs="黑体"/>
                <w:i w:val="0"/>
                <w:color w:val="000000"/>
                <w:kern w:val="0"/>
                <w:sz w:val="24"/>
                <w:szCs w:val="24"/>
                <w:u w:val="none"/>
                <w:lang w:val="en-US" w:eastAsia="zh-CN" w:bidi="ar"/>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具体任务</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黑体" w:hAnsi="宋体" w:eastAsia="黑体" w:cs="黑体"/>
                <w:b/>
                <w:bCs/>
                <w:i w:val="0"/>
                <w:color w:val="C00000"/>
                <w:kern w:val="0"/>
                <w:sz w:val="24"/>
                <w:szCs w:val="24"/>
                <w:u w:val="none"/>
                <w:lang w:val="en-US" w:eastAsia="zh-CN" w:bidi="ar"/>
              </w:rPr>
            </w:pPr>
            <w:r>
              <w:rPr>
                <w:rFonts w:hint="eastAsia" w:ascii="黑体" w:hAnsi="宋体" w:eastAsia="黑体" w:cs="黑体"/>
                <w:b/>
                <w:bCs/>
                <w:i w:val="0"/>
                <w:color w:val="C00000"/>
                <w:kern w:val="0"/>
                <w:sz w:val="24"/>
                <w:szCs w:val="24"/>
                <w:u w:val="none"/>
                <w:lang w:val="en-US" w:eastAsia="zh-CN" w:bidi="ar"/>
              </w:rPr>
              <w:t>具体措施</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left="0" w:leftChars="0" w:firstLine="0" w:firstLineChars="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时限要求</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left="0" w:leftChars="0" w:firstLine="0" w:firstLineChars="0"/>
              <w:jc w:val="left"/>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9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（一）做好政策文件集中公开。</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依托政府网站“政府信息公开”专栏，建立本地区政策文件库，集中公开现行有效的政府文件、行政规范性文件和部门文件，并根据法律法规和上级文件的制定、修改、废止情况，及时更新清理政策文件库。</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1.司法局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旗政务公开工作主管部门、政府办公室、司法局牵头，旗政府各委办局负责落实；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pacing w:val="-11"/>
                <w:kern w:val="0"/>
                <w:sz w:val="16"/>
                <w:szCs w:val="16"/>
                <w:u w:val="none"/>
                <w:lang w:val="en-US" w:eastAsia="zh-CN" w:bidi="ar"/>
              </w:rPr>
              <w:t>进一步完善政策文件分类展示，调整优化主题划分，提升政策文件公开质量。</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spacing w:val="-11"/>
                <w:kern w:val="0"/>
                <w:sz w:val="16"/>
                <w:szCs w:val="16"/>
                <w:u w:val="none"/>
                <w:lang w:val="en-US" w:eastAsia="zh-CN" w:bidi="ar"/>
              </w:rPr>
            </w:pPr>
            <w:r>
              <w:rPr>
                <w:rFonts w:hint="eastAsia" w:ascii="宋体" w:hAnsi="宋体" w:eastAsia="宋体" w:cs="宋体"/>
                <w:b/>
                <w:bCs/>
                <w:i w:val="0"/>
                <w:color w:val="C00000"/>
                <w:spacing w:val="-11"/>
                <w:kern w:val="0"/>
                <w:sz w:val="16"/>
                <w:szCs w:val="16"/>
                <w:u w:val="none"/>
                <w:lang w:val="en-US" w:eastAsia="zh-CN" w:bidi="ar"/>
              </w:rPr>
              <w:t>1.</w:t>
            </w:r>
            <w:r>
              <w:rPr>
                <w:rFonts w:hint="eastAsia" w:ascii="Arial" w:hAnsi="Arial" w:eastAsia="宋体" w:cs="Arial"/>
                <w:b/>
                <w:bCs/>
                <w:i w:val="0"/>
                <w:color w:val="C00000"/>
                <w:spacing w:val="-11"/>
                <w:kern w:val="0"/>
                <w:sz w:val="16"/>
                <w:szCs w:val="16"/>
                <w:u w:val="none"/>
                <w:lang w:val="en-US" w:eastAsia="zh-CN" w:bidi="ar"/>
              </w:rPr>
              <w:t>旗政务公开办</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旗政务公开办牵头，旗政府各委办局负责落实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trPr>
        <w:tc>
          <w:tcPr>
            <w:tcW w:w="9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（二）加强政策集中公开成果运用。</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制定政策库多维度标签体系，通过“蒙企通”等企业库基础数据和政务服务用户行为分析，推动实现涉企政策线上线下精准推送。</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旗政务公开、政府网站工作主管部门牵头，旗政府各委办局负责落实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trPr>
        <w:tc>
          <w:tcPr>
            <w:tcW w:w="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提升政府网站集约化平台大数据分析能力，以政策文件库和政务服务事项办事指南为依托，推动建设政策文件智</w:t>
            </w:r>
            <w:r>
              <w:rPr>
                <w:rFonts w:hint="eastAsia" w:ascii="宋体" w:hAnsi="宋体" w:eastAsia="宋体" w:cs="宋体"/>
                <w:i w:val="0"/>
                <w:color w:val="C00000"/>
                <w:kern w:val="0"/>
                <w:sz w:val="16"/>
                <w:szCs w:val="16"/>
                <w:u w:val="none"/>
                <w:lang w:val="en-US" w:eastAsia="zh-CN" w:bidi="ar"/>
              </w:rPr>
              <w:t>能问答数据库。</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旗政务公开、政府网站工作主管部门牵头，旗政府各委办局负责落实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2022 </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9" w:hRule="atLeast"/>
        </w:trPr>
        <w:tc>
          <w:tcPr>
            <w:tcW w:w="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快推进政务服务标准化、规范化、便利化，根据国家政务服务事项基本目录和本地实际，明确应承接的事项，并全面梳理依法依规自行设立的事项，修订完善本地区政务服务事项基本目录，更好满足企业和群众办事需求。</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1.行政审批和政务服务局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旗行政审批和政务服务局牵头，旗政府各委办局负责落实；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11</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2" w:hRule="atLeast"/>
        </w:trPr>
        <w:tc>
          <w:tcPr>
            <w:tcW w:w="9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（三）优化政策咨询综合服务。</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持续做好重大政策发布解读回应工作，全面推广“政策专员”工作机制和政策例行吹风会等形式，切实提高政策解读质量和政策解读工作的连续性。</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旗政府各委办局，各苏木乡镇人民政府、大沁他拉街道办事处、国有六号农场负责落实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4" w:hRule="atLeast"/>
        </w:trPr>
        <w:tc>
          <w:tcPr>
            <w:tcW w:w="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7</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以12345政务服务便民热线、政府信息公开咨询电话、政务服务场所为依托，加强政策咨询“窗口”建设，针对生育、教育、就业、创业、养老、医疗、纳税、疫情防控等与人民群众切身利益密切相关的问题，提供方便快捷的政策咨询服务。</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旗12345政务服务便民热线主管部门、卫生健康、教育、人力资源社会保障、民政、医疗、税务等部门负责落实；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8</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依托智能化搜索平台，加快建设统一的智能化政策问答平台，实现数据互联共享和同步更新。</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旗政务公开、政府网站工作主管部门负责落实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293"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（四）持续做好疫情防控信息公开。</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严格执行疫情防控信息发布各项制度，继续做好各地区疫情防控政策措施常规报送和在中国政府网“各地疫情防控政策措施”专栏上的更新工作。</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1.卫生健康委员会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spacing w:val="-17"/>
                <w:kern w:val="0"/>
                <w:sz w:val="16"/>
                <w:szCs w:val="16"/>
                <w:u w:val="none"/>
                <w:lang w:val="en-US" w:eastAsia="zh-CN" w:bidi="ar"/>
              </w:rPr>
              <w:t>旗卫生健康委员会、政府网站工作主管部门负责落实；</w:t>
            </w: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294"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10</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加强疫情防控信息发布工作协调衔接，形成多方协同的工作合力。进一步规范流调信息发布和管理，保护好个人隐私，避免对相关人员正常生活产生不当影响。</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1.卫生健康委员会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b w:val="0"/>
                <w:bCs w:val="0"/>
                <w:i w:val="0"/>
                <w:color w:val="000000"/>
                <w:sz w:val="16"/>
                <w:szCs w:val="16"/>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eastAsia" w:ascii="宋体" w:hAnsi="宋体" w:eastAsia="宋体" w:cs="宋体"/>
                <w:i w:val="0"/>
                <w:color w:val="000000"/>
                <w:sz w:val="16"/>
                <w:szCs w:val="16"/>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831"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（五）加强就业创业信息公开。</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对高校毕业生、退役军人、失业人员等重点群体就业，做好政策公开、宣讲和推送工作，提升灵活就业劳动用工和社保政策的发布解读质量，加大新就业形态劳动者劳动保障信息公开力度，畅通维权和咨询投诉渠道。</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1.教育体育局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2.退役军人事务局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3.人力资源和社会保障局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4.各苏木乡镇（街道、场）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i w:val="0"/>
                <w:color w:val="000000"/>
                <w:kern w:val="0"/>
                <w:sz w:val="16"/>
                <w:szCs w:val="16"/>
                <w:u w:val="none"/>
                <w:lang w:val="en-US" w:eastAsia="zh-CN" w:bidi="ar"/>
              </w:rPr>
              <w:t>旗教育体育局、退役军人事务局、人力资源社会保障局等相关部门负责落实；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534"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深化“创业内蒙古行动”，及时发布职业技能培训信息，通过政府门户网站和政务新媒体推广智慧就业服务平台，让更多群众能够知悉并获取就业培训相关信息。</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1.人力资源和社会保障局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旗人力资源社会保障局及相关部门负责落实；</w:t>
            </w: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eastAsia" w:ascii="宋体" w:hAnsi="宋体" w:eastAsia="宋体" w:cs="宋体"/>
                <w:i w:val="0"/>
                <w:color w:val="000000"/>
                <w:sz w:val="16"/>
                <w:szCs w:val="16"/>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64"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做好失业保险基金使用情况动态公开。</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1.人力资源和社会保障局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b w:val="0"/>
                <w:bCs w:val="0"/>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510"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（六）深化生态环境领域信息公开。</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持续做好大气、水、土壤环境质量，建设项目环境影响评价和生态环境相关监督检查结果等信息公开。</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1.生态环境局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i w:val="0"/>
                <w:color w:val="000000"/>
                <w:kern w:val="0"/>
                <w:sz w:val="16"/>
                <w:szCs w:val="16"/>
                <w:u w:val="none"/>
                <w:lang w:val="en-US" w:eastAsia="zh-CN" w:bidi="ar"/>
              </w:rPr>
              <w:t>旗生态环境局及其相关部门负责落实；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635"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15</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及时发布生态环境保护和高质量发展、深入打好污染防治攻坚战、持续改善生态环境质量等方面权威信息。</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2.生态环境局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spacing w:val="-11"/>
                <w:kern w:val="0"/>
                <w:sz w:val="16"/>
                <w:szCs w:val="16"/>
                <w:u w:val="none"/>
                <w:lang w:val="en-US" w:eastAsia="zh-CN" w:bidi="ar"/>
              </w:rPr>
              <w:t>旗发展的改革委员会、生态环境局及相关部门负责落实；</w:t>
            </w: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51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16</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聚焦重点区域深入实施国土绿化和防沙治沙、环境问题整治、深度节水控水、重点河湖湿地综合治理等工作，发挥以公开促落实促规范促服务作用，推进生态环境持续改善。</w:t>
            </w:r>
          </w:p>
        </w:tc>
        <w:tc>
          <w:tcPr>
            <w:tcW w:w="46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2.自然资源局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3.生态环境局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4.水务局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旗发展和改革委员会、自然资源局、生态环境局、水务局、林草局及相关部门负责落实；</w:t>
            </w: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eastAsia" w:ascii="宋体" w:hAnsi="宋体" w:eastAsia="宋体" w:cs="宋体"/>
                <w:i w:val="0"/>
                <w:color w:val="000000"/>
                <w:sz w:val="16"/>
                <w:szCs w:val="16"/>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95"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17</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pacing w:val="-11"/>
                <w:kern w:val="0"/>
                <w:sz w:val="16"/>
                <w:szCs w:val="16"/>
                <w:u w:val="none"/>
                <w:lang w:val="en-US" w:eastAsia="zh-CN" w:bidi="ar"/>
              </w:rPr>
              <w:t>做好中央第三生态环境保护督察组交办群众信访举报件办理情况的公开工作。</w:t>
            </w:r>
          </w:p>
        </w:tc>
        <w:tc>
          <w:tcPr>
            <w:tcW w:w="467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spacing w:val="-11"/>
                <w:kern w:val="0"/>
                <w:sz w:val="16"/>
                <w:szCs w:val="16"/>
                <w:u w:val="none"/>
                <w:lang w:val="en-US" w:eastAsia="zh-CN" w:bidi="ar"/>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b w:val="0"/>
                <w:bCs w:val="0"/>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770"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（七）推进公共企事业单位信息公开。</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C00000"/>
                <w:kern w:val="0"/>
                <w:sz w:val="16"/>
                <w:szCs w:val="16"/>
                <w:u w:val="none"/>
                <w:lang w:val="en-US" w:eastAsia="zh-CN" w:bidi="ar"/>
              </w:rPr>
            </w:pPr>
            <w:r>
              <w:rPr>
                <w:rFonts w:hint="eastAsia" w:ascii="宋体" w:hAnsi="宋体" w:eastAsia="宋体" w:cs="宋体"/>
                <w:i w:val="0"/>
                <w:color w:val="C00000"/>
                <w:kern w:val="0"/>
                <w:sz w:val="16"/>
                <w:szCs w:val="16"/>
                <w:u w:val="none"/>
                <w:lang w:val="en-US" w:eastAsia="zh-CN" w:bidi="ar"/>
              </w:rPr>
              <w:t>18</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C00000"/>
                <w:sz w:val="16"/>
                <w:szCs w:val="16"/>
                <w:u w:val="none"/>
              </w:rPr>
            </w:pPr>
            <w:r>
              <w:rPr>
                <w:rFonts w:hint="eastAsia" w:ascii="宋体" w:hAnsi="宋体" w:eastAsia="宋体" w:cs="宋体"/>
                <w:i w:val="0"/>
                <w:color w:val="C00000"/>
                <w:kern w:val="0"/>
                <w:sz w:val="16"/>
                <w:szCs w:val="16"/>
                <w:u w:val="none"/>
                <w:lang w:val="en-US" w:eastAsia="zh-CN" w:bidi="ar"/>
              </w:rPr>
              <w:t>严格执行《供电企业信息公开实施办法》《医疗卫生机构信息公开管理办法》《公共交通企业信息公开规定》等已出台的公共企事业单位信息公开制度，深入推进公共企事业单位信息公开。</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1.奈曼旗供电公司</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2.卫生健康委员会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3.交通局</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C00000"/>
                <w:kern w:val="0"/>
                <w:sz w:val="16"/>
                <w:szCs w:val="16"/>
                <w:u w:val="none"/>
                <w:lang w:val="en-US" w:eastAsia="zh-CN" w:bidi="ar"/>
              </w:rPr>
            </w:pPr>
            <w:r>
              <w:rPr>
                <w:rFonts w:hint="eastAsia" w:ascii="宋体" w:hAnsi="宋体" w:eastAsia="宋体" w:cs="宋体"/>
                <w:b w:val="0"/>
                <w:bCs w:val="0"/>
                <w:i w:val="0"/>
                <w:color w:val="C00000"/>
                <w:kern w:val="0"/>
                <w:sz w:val="16"/>
                <w:szCs w:val="16"/>
                <w:u w:val="none"/>
                <w:lang w:val="en-US" w:eastAsia="zh-CN" w:bidi="ar"/>
              </w:rPr>
              <w:t>旗级相关主管部门牵头落实；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C00000"/>
                <w:sz w:val="16"/>
                <w:szCs w:val="16"/>
                <w:u w:val="none"/>
              </w:rPr>
            </w:pPr>
            <w:r>
              <w:rPr>
                <w:rFonts w:hint="eastAsia" w:ascii="宋体" w:hAnsi="宋体" w:eastAsia="宋体" w:cs="宋体"/>
                <w:i w:val="0"/>
                <w:color w:val="C00000"/>
                <w:kern w:val="0"/>
                <w:sz w:val="16"/>
                <w:szCs w:val="16"/>
                <w:u w:val="none"/>
                <w:lang w:val="en-US" w:eastAsia="zh-CN" w:bidi="ar"/>
              </w:rPr>
              <w:t>各苏木乡镇人民政府、大沁他拉街道办事处、国有六号农场负责落实</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C00000"/>
                <w:kern w:val="0"/>
                <w:sz w:val="16"/>
                <w:szCs w:val="16"/>
                <w:u w:val="none"/>
                <w:lang w:val="en-US" w:eastAsia="zh-CN" w:bidi="ar"/>
              </w:rPr>
            </w:pPr>
            <w:r>
              <w:rPr>
                <w:rFonts w:hint="default" w:ascii="Arial" w:hAnsi="Arial" w:eastAsia="宋体" w:cs="Arial"/>
                <w:i w:val="0"/>
                <w:color w:val="C00000"/>
                <w:kern w:val="0"/>
                <w:sz w:val="16"/>
                <w:szCs w:val="16"/>
                <w:u w:val="none"/>
                <w:lang w:val="en-US" w:eastAsia="zh-CN" w:bidi="ar"/>
              </w:rPr>
              <w:t>2022</w:t>
            </w:r>
            <w:r>
              <w:rPr>
                <w:rFonts w:hint="eastAsia" w:ascii="宋体" w:hAnsi="宋体" w:eastAsia="宋体" w:cs="宋体"/>
                <w:i w:val="0"/>
                <w:color w:val="C00000"/>
                <w:kern w:val="0"/>
                <w:sz w:val="16"/>
                <w:szCs w:val="16"/>
                <w:u w:val="none"/>
                <w:lang w:val="en-US" w:eastAsia="zh-CN" w:bidi="ar"/>
              </w:rPr>
              <w:t>年</w:t>
            </w:r>
            <w:r>
              <w:rPr>
                <w:rFonts w:hint="default" w:ascii="Arial" w:hAnsi="Arial" w:eastAsia="宋体" w:cs="Arial"/>
                <w:i w:val="0"/>
                <w:color w:val="C00000"/>
                <w:kern w:val="0"/>
                <w:sz w:val="16"/>
                <w:szCs w:val="16"/>
                <w:u w:val="none"/>
                <w:lang w:val="en-US" w:eastAsia="zh-CN" w:bidi="ar"/>
              </w:rPr>
              <w:t>9</w:t>
            </w:r>
            <w:r>
              <w:rPr>
                <w:rFonts w:hint="eastAsia" w:ascii="宋体" w:hAnsi="宋体" w:eastAsia="宋体" w:cs="宋体"/>
                <w:i w:val="0"/>
                <w:color w:val="C00000"/>
                <w:kern w:val="0"/>
                <w:sz w:val="16"/>
                <w:szCs w:val="16"/>
                <w:u w:val="none"/>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C00000"/>
                <w:sz w:val="16"/>
                <w:szCs w:val="16"/>
                <w:u w:val="none"/>
              </w:rPr>
            </w:pPr>
            <w:r>
              <w:rPr>
                <w:rFonts w:hint="eastAsia" w:ascii="宋体" w:hAnsi="宋体" w:eastAsia="宋体" w:cs="宋体"/>
                <w:i w:val="0"/>
                <w:color w:val="C00000"/>
                <w:kern w:val="0"/>
                <w:sz w:val="16"/>
                <w:szCs w:val="16"/>
                <w:u w:val="none"/>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C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65"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C00000"/>
                <w:sz w:val="16"/>
                <w:szCs w:val="16"/>
                <w:u w:val="none"/>
                <w:lang w:val="en-US" w:eastAsia="zh-CN"/>
              </w:rPr>
            </w:pPr>
            <w:r>
              <w:rPr>
                <w:rFonts w:hint="eastAsia" w:ascii="宋体" w:hAnsi="宋体" w:eastAsia="宋体" w:cs="宋体"/>
                <w:i w:val="0"/>
                <w:color w:val="C00000"/>
                <w:sz w:val="16"/>
                <w:szCs w:val="16"/>
                <w:u w:val="none"/>
                <w:lang w:val="en-US" w:eastAsia="zh-CN"/>
              </w:rPr>
              <w:t>19</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C00000"/>
                <w:kern w:val="0"/>
                <w:sz w:val="16"/>
                <w:szCs w:val="16"/>
                <w:u w:val="none"/>
                <w:lang w:val="en-US" w:eastAsia="zh-CN" w:bidi="ar"/>
              </w:rPr>
            </w:pPr>
            <w:r>
              <w:rPr>
                <w:rFonts w:hint="eastAsia" w:ascii="宋体" w:hAnsi="宋体" w:eastAsia="宋体" w:cs="宋体"/>
                <w:i w:val="0"/>
                <w:color w:val="C00000"/>
                <w:kern w:val="0"/>
                <w:sz w:val="16"/>
                <w:szCs w:val="16"/>
                <w:u w:val="none"/>
                <w:lang w:val="en-US" w:eastAsia="zh-CN" w:bidi="ar"/>
              </w:rPr>
              <w:t>有关主管部门要切实履行主管部门职责，重点围绕具有市场支配地位、公共属性较强、直接关系人民群众身体健康和生命安全、与服务对象之间信息不对称问题突出、需要重点加强监管的公共企事业单位，加强监督管理、强化制度落实和社会监督，提升公共企事业单位信息公开水平和能力，更好维护市场经济秩序和人民群众切身利益。</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b w:val="0"/>
                <w:bCs w:val="0"/>
                <w:i w:val="0"/>
                <w:color w:val="C00000"/>
                <w:sz w:val="16"/>
                <w:szCs w:val="16"/>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default" w:ascii="Arial" w:hAnsi="Arial" w:cs="Arial"/>
                <w:i w:val="0"/>
                <w:color w:val="C00000"/>
                <w:sz w:val="16"/>
                <w:szCs w:val="16"/>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default" w:ascii="Arial" w:hAnsi="Arial" w:cs="Arial"/>
                <w:i w:val="0"/>
                <w:color w:val="C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885" w:hRule="atLeast"/>
        </w:trPr>
        <w:tc>
          <w:tcPr>
            <w:tcW w:w="901"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（八）优化民生领域信息公开。</w:t>
            </w:r>
          </w:p>
        </w:tc>
        <w:tc>
          <w:tcPr>
            <w:tcW w:w="6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w:t>
            </w:r>
          </w:p>
        </w:tc>
        <w:tc>
          <w:tcPr>
            <w:tcW w:w="24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持续做好养老服务、安全生产、食品安全、产品质量、义务教育、医疗卫生、乡村振兴、公共文化服务、社会救助、财政资金直达基层等民生领域相关政策措施、解读材料、实施情况和监督检查等信息公开工作。</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1.民政局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2.应急管理局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3.市场监督管理局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4.教育体育局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5.卫生健康委员会</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6.乡村振兴局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7.文化和旅游局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8.财政局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9.各苏木乡镇（街道、场）</w:t>
            </w:r>
          </w:p>
        </w:tc>
        <w:tc>
          <w:tcPr>
            <w:tcW w:w="23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民政、应急管理、市场监管、教育、卫生健康、乡村振兴、文化旅游、财政等部门负责落实；</w:t>
            </w:r>
          </w:p>
        </w:tc>
        <w:tc>
          <w:tcPr>
            <w:tcW w:w="139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814" w:hRule="atLeast"/>
        </w:trPr>
        <w:tc>
          <w:tcPr>
            <w:tcW w:w="9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p>
        </w:tc>
        <w:tc>
          <w:tcPr>
            <w:tcW w:w="2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优化政府门户网站相应栏目设置，确保栏目定位清晰，信息发布准确。</w:t>
            </w: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i w:val="0"/>
                <w:color w:val="000000"/>
                <w:spacing w:val="-17"/>
                <w:kern w:val="0"/>
                <w:sz w:val="16"/>
                <w:szCs w:val="16"/>
                <w:u w:val="none"/>
                <w:lang w:val="en-US" w:eastAsia="zh-CN" w:bidi="ar"/>
              </w:rPr>
              <w:t>旗政务公开办</w:t>
            </w:r>
          </w:p>
        </w:tc>
        <w:tc>
          <w:tcPr>
            <w:tcW w:w="13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c>
          <w:tcPr>
            <w:tcW w:w="13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316"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（九）营造公平开放的市场环境。</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C00000"/>
                <w:kern w:val="0"/>
                <w:sz w:val="16"/>
                <w:szCs w:val="16"/>
                <w:u w:val="none"/>
                <w:lang w:val="en-US" w:eastAsia="zh-CN" w:bidi="ar"/>
              </w:rPr>
            </w:pPr>
            <w:r>
              <w:rPr>
                <w:rFonts w:hint="eastAsia" w:ascii="宋体" w:hAnsi="宋体" w:eastAsia="宋体" w:cs="宋体"/>
                <w:i w:val="0"/>
                <w:color w:val="C00000"/>
                <w:kern w:val="0"/>
                <w:sz w:val="16"/>
                <w:szCs w:val="16"/>
                <w:u w:val="none"/>
                <w:lang w:val="en-US" w:eastAsia="zh-CN" w:bidi="ar"/>
              </w:rPr>
              <w:t>21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C00000"/>
                <w:sz w:val="16"/>
                <w:szCs w:val="16"/>
                <w:u w:val="none"/>
              </w:rPr>
            </w:pPr>
            <w:r>
              <w:rPr>
                <w:rFonts w:hint="eastAsia" w:ascii="宋体" w:hAnsi="宋体" w:eastAsia="宋体" w:cs="宋体"/>
                <w:i w:val="0"/>
                <w:color w:val="C00000"/>
                <w:kern w:val="0"/>
                <w:sz w:val="16"/>
                <w:szCs w:val="16"/>
                <w:u w:val="none"/>
                <w:lang w:val="en-US" w:eastAsia="zh-CN" w:bidi="ar"/>
              </w:rPr>
              <w:t>做好政府网站优化营商环境政策集中公开，推进惠民利企政策措施精准推送，政策起草部门要公开相关统计数据和政策落实情况。</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旗政务公开办牵头，旗政府相关委办局落实；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931"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C00000"/>
                <w:sz w:val="16"/>
                <w:szCs w:val="16"/>
                <w:u w:val="none"/>
              </w:rPr>
            </w:pPr>
            <w:r>
              <w:rPr>
                <w:rFonts w:hint="eastAsia" w:ascii="宋体" w:hAnsi="宋体" w:eastAsia="宋体" w:cs="宋体"/>
                <w:i w:val="0"/>
                <w:color w:val="C00000"/>
                <w:kern w:val="0"/>
                <w:sz w:val="16"/>
                <w:szCs w:val="16"/>
                <w:u w:val="none"/>
                <w:lang w:val="en-US" w:eastAsia="zh-CN" w:bidi="ar"/>
              </w:rPr>
              <w:t>开展优化营商环境方面的意见建议征集和结果反馈，促进以更优营商环境服务市场主体工作。</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93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主动公开市场监管规则标准，动态更新市场准入负面清单，依法做好执法信息公开。</w:t>
            </w:r>
          </w:p>
        </w:tc>
        <w:tc>
          <w:tcPr>
            <w:tcW w:w="46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2.市场监督管理局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旗发改委、市场监管部门牵头，相关部门负责落实；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145"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24</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强化公共信用信息、反垄断和反不正当竞争执法信息公开，进一步规范执法监管行为，营造诚信守法、公平竞争的市场环境。</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p>
        </w:tc>
        <w:tc>
          <w:tcPr>
            <w:tcW w:w="467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373"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（十）推动企业降本增效。</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25</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加强减税降费信息公开，帮助基层执行机关和纳税人缴费人及时全面准确了解政策，以减税降费信息公开到位，推动减税降费政策执行到位。</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2.财政局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3.人力资源和社会保障局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4.税务局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5.各苏木乡镇（街道、场）</w:t>
            </w:r>
          </w:p>
        </w:tc>
        <w:tc>
          <w:tcPr>
            <w:tcW w:w="23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旗发改委、财政、人社，税务等部门负责落实；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728"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26</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加强政策宣传和咨询服务，通过12366纳税服务热线、移动客户端、办税服务厅、政务服务场所等线上线下多种渠道宣传优惠政策，确保政策措施应知尽知、应享尽享。</w:t>
            </w:r>
          </w:p>
        </w:tc>
        <w:tc>
          <w:tcPr>
            <w:tcW w:w="46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1.税务局</w:t>
            </w:r>
          </w:p>
        </w:tc>
        <w:tc>
          <w:tcPr>
            <w:tcW w:w="23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税务部门负责落实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92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27</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推进重大税收违法失信案件信息公开，依法依规开展联合惩戒，引导市场主体规范健康发展。</w:t>
            </w: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1.税务局</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税务部门负责落实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147"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（十一）助力扩大有效投资。</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28</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围绕规划重大项目、年度重点项目和基础设施建设，依法依规做好扩大有效投资相关规划、政策及重大建设项目信息公开。</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2.区域经济合作与金融服务局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旗发改委、区域经济合作与金融服务局等部门牵头，旗政府相关委办局负责落实。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774"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39</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聚焦推进项目建设、促进工业技改、先进制造业、新兴产业和创新成果转化等方面，加大工作成效的对外发布解读力度。以“常态化走出去、精准化引进来”为重点，切实提升招商引资政策的公开质量。</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2.区域经济合作与金融服务局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58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及时回应社会公众对重大建设项目的关切，以发布解读的“透”，引导市场预期的“稳”，助力扩大有效投资。</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2.区域经济合作与金融服务局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045"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（十二）促进消费扩容升级。</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切实做好对中小微企业、个体工商户、相关服务业支持政策和促进消费政策措施的公开工作。</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2.区域经济合作与金融服务局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3.工业和信息化局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4.文化和旅游局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5.市场监督管理局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6.各苏木乡镇（街道、场）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旗发展和改革委员会、工业和信息化</w:t>
            </w:r>
            <w:r>
              <w:rPr>
                <w:rFonts w:hint="eastAsia" w:ascii="宋体" w:hAnsi="宋体" w:eastAsia="宋体" w:cs="宋体"/>
                <w:i w:val="0"/>
                <w:color w:val="FF0000"/>
                <w:kern w:val="0"/>
                <w:sz w:val="16"/>
                <w:szCs w:val="16"/>
                <w:u w:val="none"/>
                <w:lang w:val="en-US" w:eastAsia="zh-CN" w:bidi="ar"/>
              </w:rPr>
              <w:t>局奈曼旗区域经济合作与金融服务局</w:t>
            </w:r>
            <w:r>
              <w:rPr>
                <w:rFonts w:hint="eastAsia" w:ascii="宋体" w:hAnsi="宋体" w:eastAsia="宋体" w:cs="宋体"/>
                <w:i w:val="0"/>
                <w:color w:val="000000"/>
                <w:kern w:val="0"/>
                <w:sz w:val="16"/>
                <w:szCs w:val="16"/>
                <w:u w:val="none"/>
                <w:lang w:val="en-US" w:eastAsia="zh-CN" w:bidi="ar"/>
              </w:rPr>
              <w:t>、文化和旅游局、市场监督管理局等部门负责落实；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055"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在推动假日消费、街区市场、门店商铺、夜间经济等方面，充分发挥政府信息公开和政策解读的引导指引作用。</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2.区域经济合作与金融服务局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3.工业和信息化局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4.文化和旅游局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5.市场监督管理局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6.各苏木乡镇（街道、场）</w:t>
            </w:r>
          </w:p>
        </w:tc>
        <w:tc>
          <w:tcPr>
            <w:tcW w:w="23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87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在扩大旅游消费、绿色农畜产品消费，促进新能源汽车推广应用，鼓励开展绿色智能家电下乡等方面，提供高效便捷的政策咨询服务，打击侵权假冒信息发布行为，营造良好的消费环境。</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2.区域经济合作与金融服务局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3.工业和信息化局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4.文化和旅游局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5.市场监督管理局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6.各苏木乡镇（街道、场）</w:t>
            </w:r>
          </w:p>
        </w:tc>
        <w:tc>
          <w:tcPr>
            <w:tcW w:w="23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旗发展和改革委员会、工业和</w:t>
            </w:r>
            <w:r>
              <w:rPr>
                <w:rFonts w:hint="eastAsia" w:ascii="宋体" w:hAnsi="宋体" w:eastAsia="宋体" w:cs="宋体"/>
                <w:i w:val="0"/>
                <w:color w:val="auto"/>
                <w:kern w:val="0"/>
                <w:sz w:val="16"/>
                <w:szCs w:val="16"/>
                <w:u w:val="none"/>
                <w:lang w:val="en-US" w:eastAsia="zh-CN" w:bidi="ar"/>
              </w:rPr>
              <w:t>信息化局奈曼旗区域经济合作与金融服务局、文</w:t>
            </w:r>
            <w:r>
              <w:rPr>
                <w:rFonts w:hint="eastAsia" w:ascii="宋体" w:hAnsi="宋体" w:eastAsia="宋体" w:cs="宋体"/>
                <w:i w:val="0"/>
                <w:color w:val="000000"/>
                <w:kern w:val="0"/>
                <w:sz w:val="16"/>
                <w:szCs w:val="16"/>
                <w:u w:val="none"/>
                <w:lang w:val="en-US" w:eastAsia="zh-CN" w:bidi="ar"/>
              </w:rPr>
              <w:t>化和旅游局、市场监督管理局等部门负责落实；</w:t>
            </w: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721"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（十三）持续推进基层政务公开标准化规范化工作。</w:t>
            </w:r>
          </w:p>
        </w:tc>
        <w:tc>
          <w:tcPr>
            <w:tcW w:w="6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34</w:t>
            </w:r>
          </w:p>
        </w:tc>
        <w:tc>
          <w:tcPr>
            <w:tcW w:w="24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根据新印发的广播电视、统计、新闻出版、旅游、自然资源等有关领域基层政务公开标准指引，继续更新完善基层政务公开事项标准目录，并及时向社会公开。</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1.旗委宣传部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3.统计局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4.自然资源局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5.文化和旅游局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6.各苏木乡镇（街道、场）</w:t>
            </w:r>
          </w:p>
        </w:tc>
        <w:tc>
          <w:tcPr>
            <w:tcW w:w="23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旗政府办公室、</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2022 </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65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35</w:t>
            </w:r>
          </w:p>
        </w:tc>
        <w:tc>
          <w:tcPr>
            <w:tcW w:w="2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严格按照基层政务公开事项标准目录公开要素内容，开展基层政务公开工作，做到应公开尽公开。</w:t>
            </w:r>
          </w:p>
        </w:tc>
        <w:tc>
          <w:tcPr>
            <w:tcW w:w="46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旗政府办公室、旗直各部门、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2022 </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788"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36</w:t>
            </w:r>
          </w:p>
        </w:tc>
        <w:tc>
          <w:tcPr>
            <w:tcW w:w="24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旗人民政府要汇总当年面向农村牧区的各类惠民惠农惠牧财政补贴资金实际发放结果，年底前以嘎查（村）为单位通过村务公开栏公开，公示期满后在嘎查（村）委会建档留存，以便群众查询。</w:t>
            </w:r>
          </w:p>
        </w:tc>
        <w:tc>
          <w:tcPr>
            <w:tcW w:w="46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2.财政局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旗政府办公室、财政局；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2022 </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786"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37</w:t>
            </w:r>
          </w:p>
        </w:tc>
        <w:tc>
          <w:tcPr>
            <w:tcW w:w="2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坚持需求导向，加强改进基层政府信息公开窗口建设，结合政务服务“就近办”改革，加强窗口人员业务培训，更好适应基层群众需求，提升电话解答、现场解答政策的水平。</w:t>
            </w: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旗政府办公室、</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947"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（十四）深化自治区政务公开地方标准应用工作。</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38</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按照自治区《政府信息主动公开工作规范》《政府信息依申请公开工作规范》《政府信息公开指南编制规范》《政府信息公开工作年度报告编制规范》《政府信息公开平台建设规范》《政策解读工作规范》《政务公开标准目录编制规范》《政务公开绩效考核规范》等8项地方标准开展相关工作，提升地方标准应用水平。</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旗政务公开工作主管部门牵头，指导、推动、监督各地、各部门开展工作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077"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39</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政务公开工作主管部门要切实做好政务公开地方标准落实情况“回头看”工作，逐项核查落实情况，确保工作实效。</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112"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（十五）提升依申请公开规范化信息化水平。</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40</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进一步扩大自治区政府信息依申请公开系统在全旗的使用范围，提升全旗政府信息公开申请“一网通办”能力。</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066"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正确适用《政府信息公开信息处理费管理办法》（国办函〔2020〕109号）、《内蒙古自治区财政厅 发改委 政务服务局关于明确政府信息公开信息处理费收费管理有关事项的通知》（内财税〔2021〕785号），严格执行标准和程序，维护政府信息公开工作秩序。</w:t>
            </w: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旗政务公开工作主管部门牵头，指导、推动、监督各地、各部门开展工作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637"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（十六）发挥政府网站集约化平台作用。</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积极推动市政府网站集约化平台与自治区统一信息资源库对接，实现数据互联融通。开展实施旗县市区政府门户网站改版优化工作，落实IPv6相关任务，着力提升数字政府建设。</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1.政务公开办</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旗政务公开工作领导小组办公室负责落实</w:t>
            </w: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eastAsia="zh-CN"/>
              </w:rPr>
              <w:t>旗政务公开工作领导小组办公室负责落实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 xml:space="preserve">12 </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808"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加强政府网站内容管理，强化流程控制，提升专题专栏建设成效。</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1.政务公开办</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default" w:ascii="Arial" w:hAnsi="Arial" w:cs="Arial"/>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862"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44</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pacing w:val="-11"/>
                <w:kern w:val="0"/>
                <w:sz w:val="16"/>
                <w:szCs w:val="16"/>
                <w:u w:val="none"/>
                <w:lang w:val="en-US" w:eastAsia="zh-CN" w:bidi="ar"/>
              </w:rPr>
              <w:t>严格落实网络意识形态责任制，开展等级保护测评工作，确保政府网站与政务新媒体安全平稳运行。</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3.3.各苏木乡镇（街道、场）</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default" w:ascii="Arial" w:hAnsi="Arial" w:cs="Arial"/>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205"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（十七）加强对政务新媒体的建设管理。</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45</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旗政务新媒体工作主管部门要加强对本地区政务新媒体建设管理工作的指导监督，推进政务新媒体规范运行、健康有序发展。</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旗政务新媒体主管部门牵头，指导、推动、监督本地区各部门开展工作，旗政府各委办局负责落实；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26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46</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明确政务新媒体功能定位，不断优化发布解读、政民互动、办事服务等功能，加强专题专栏建设，为企业和群众提供更便捷实用的移动服务。</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557"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47</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严格落实内容发布审核制度，坚持分级分类审核、先审后发，明确审核主体、审核流程，原则上只转载党委和政府网站以及有关主管部门确定的稿源单位发布的信息。</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374"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（十八）强化组织领导。</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48</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各地、各部门要切实加强组织领导，压实责任，健全机制，强化内部管理和工作衔接，确保信息发布、政策解读、回应关切等各项工作的连续性。</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旗政府各委办局负责落实；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626"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C00000"/>
                <w:sz w:val="16"/>
                <w:szCs w:val="16"/>
                <w:u w:val="none"/>
                <w:lang w:val="en-US" w:eastAsia="zh-CN"/>
              </w:rPr>
            </w:pPr>
            <w:r>
              <w:rPr>
                <w:rFonts w:hint="eastAsia" w:ascii="宋体" w:hAnsi="宋体" w:eastAsia="宋体" w:cs="宋体"/>
                <w:i w:val="0"/>
                <w:color w:val="C00000"/>
                <w:sz w:val="16"/>
                <w:szCs w:val="16"/>
                <w:u w:val="none"/>
                <w:lang w:val="en-US" w:eastAsia="zh-CN"/>
              </w:rPr>
              <w:t>49</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C00000"/>
                <w:sz w:val="16"/>
                <w:szCs w:val="16"/>
                <w:u w:val="none"/>
              </w:rPr>
            </w:pPr>
            <w:r>
              <w:rPr>
                <w:rFonts w:hint="eastAsia" w:ascii="宋体" w:hAnsi="宋体" w:eastAsia="宋体" w:cs="宋体"/>
                <w:i w:val="0"/>
                <w:color w:val="C00000"/>
                <w:kern w:val="0"/>
                <w:sz w:val="16"/>
                <w:szCs w:val="16"/>
                <w:u w:val="none"/>
                <w:lang w:val="en-US" w:eastAsia="zh-CN" w:bidi="ar"/>
              </w:rPr>
              <w:t>涉及基层政务公开标准化规范化工作和上级部门已印发相关企事业单位信息公开制度的部门要加强对相关工作的指导监督，落实主管部门责任，确保工作推进到位。</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涉及基层政务公开标准化规范化工作的对口部门、公共企事业单位主管部门负责落实；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C00000"/>
                <w:sz w:val="16"/>
                <w:szCs w:val="16"/>
                <w:u w:val="none"/>
              </w:rPr>
            </w:pPr>
            <w:r>
              <w:rPr>
                <w:rFonts w:hint="eastAsia" w:ascii="宋体" w:hAnsi="宋体" w:eastAsia="宋体" w:cs="宋体"/>
                <w:i w:val="0"/>
                <w:color w:val="auto"/>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093"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50</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各地、各部门政务公开工作领导小组要切实发挥作用，加强监督调度，提升政务公开工作水平。</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旗政府各委办局，各苏木乡镇人民政府、大沁他拉街道办事处、国有六号农场负责落实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615"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（十九）强化队伍建设。</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加强政务公开专业队伍建设，结合工作实际，通过集中培训、以会代训、日常指导等方式，提升政务公开工作队伍的业务水平和专业素质。</w:t>
            </w:r>
          </w:p>
        </w:tc>
        <w:tc>
          <w:tcPr>
            <w:tcW w:w="4670" w:type="dxa"/>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旗政务公开工作主管部门牵头、旗政府各委办局负责落实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Style w:val="10"/>
                <w:lang w:val="en-US" w:eastAsia="zh-CN" w:bidi="ar"/>
              </w:rPr>
            </w:pPr>
            <w:r>
              <w:rPr>
                <w:rFonts w:hint="default" w:ascii="Arial" w:hAnsi="Arial" w:eastAsia="宋体" w:cs="Arial"/>
                <w:i w:val="0"/>
                <w:color w:val="000000"/>
                <w:kern w:val="0"/>
                <w:sz w:val="16"/>
                <w:szCs w:val="16"/>
                <w:u w:val="none"/>
                <w:lang w:val="en-US" w:eastAsia="zh-CN" w:bidi="ar"/>
              </w:rPr>
              <w:t>2022</w:t>
            </w:r>
            <w:r>
              <w:rPr>
                <w:rStyle w:val="10"/>
                <w:lang w:val="en-US" w:eastAsia="zh-CN" w:bidi="ar"/>
              </w:rPr>
              <w:t>年</w:t>
            </w:r>
            <w:r>
              <w:rPr>
                <w:rFonts w:hint="default" w:ascii="Arial" w:hAnsi="Arial" w:eastAsia="宋体" w:cs="Arial"/>
                <w:i w:val="0"/>
                <w:color w:val="000000"/>
                <w:kern w:val="0"/>
                <w:sz w:val="16"/>
                <w:szCs w:val="16"/>
                <w:u w:val="none"/>
                <w:lang w:val="en-US" w:eastAsia="zh-CN" w:bidi="ar"/>
              </w:rPr>
              <w:t>11</w:t>
            </w:r>
            <w:r>
              <w:rPr>
                <w:rStyle w:val="10"/>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ascii="Arial" w:hAnsi="Arial" w:cs="Arial"/>
                <w:i w:val="0"/>
                <w:color w:val="000000"/>
                <w:sz w:val="16"/>
                <w:szCs w:val="16"/>
                <w:u w:val="none"/>
              </w:rPr>
            </w:pPr>
            <w:r>
              <w:rPr>
                <w:rStyle w:val="10"/>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2006"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建立政务公开典型经验做法及问题不足通报机制，对创新性开展工作的地区和部门进行通报表扬，对未落实国家、自治区、通辽市政务公开方面政策要求的，或落实不力的地区和部门进行通报批评。</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Style w:val="10"/>
                <w:lang w:val="en-US" w:eastAsia="zh-CN" w:bidi="ar"/>
              </w:rPr>
            </w:pPr>
            <w:r>
              <w:rPr>
                <w:rFonts w:hint="default" w:ascii="Arial" w:hAnsi="Arial" w:eastAsia="宋体" w:cs="Arial"/>
                <w:i w:val="0"/>
                <w:color w:val="000000"/>
                <w:kern w:val="0"/>
                <w:sz w:val="16"/>
                <w:szCs w:val="16"/>
                <w:u w:val="none"/>
                <w:lang w:val="en-US" w:eastAsia="zh-CN" w:bidi="ar"/>
              </w:rPr>
              <w:t>2022</w:t>
            </w:r>
            <w:r>
              <w:rPr>
                <w:rStyle w:val="10"/>
                <w:lang w:val="en-US" w:eastAsia="zh-CN" w:bidi="ar"/>
              </w:rPr>
              <w:t>年</w:t>
            </w:r>
            <w:r>
              <w:rPr>
                <w:rFonts w:hint="default" w:ascii="Arial" w:hAnsi="Arial" w:eastAsia="宋体" w:cs="Arial"/>
                <w:i w:val="0"/>
                <w:color w:val="000000"/>
                <w:kern w:val="0"/>
                <w:sz w:val="16"/>
                <w:szCs w:val="16"/>
                <w:u w:val="none"/>
                <w:lang w:val="en-US" w:eastAsia="zh-CN" w:bidi="ar"/>
              </w:rPr>
              <w:t>12</w:t>
            </w:r>
            <w:r>
              <w:rPr>
                <w:rStyle w:val="10"/>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default" w:ascii="Arial" w:hAnsi="Arial" w:cs="Arial"/>
                <w:i w:val="0"/>
                <w:color w:val="000000"/>
                <w:sz w:val="16"/>
                <w:szCs w:val="16"/>
                <w:u w:val="none"/>
              </w:rPr>
            </w:pPr>
            <w:r>
              <w:rPr>
                <w:rStyle w:val="10"/>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191"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（二十）强化纪律建设。</w:t>
            </w:r>
          </w:p>
        </w:tc>
        <w:tc>
          <w:tcPr>
            <w:tcW w:w="6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53</w:t>
            </w:r>
          </w:p>
        </w:tc>
        <w:tc>
          <w:tcPr>
            <w:tcW w:w="24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进一步规范政务公开第三方评估工作，市旗两级不开展政务公开第三方评估。</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b/>
                <w:bCs/>
                <w:i w:val="0"/>
                <w:color w:val="C00000"/>
                <w:kern w:val="0"/>
                <w:sz w:val="16"/>
                <w:szCs w:val="16"/>
                <w:u w:val="none"/>
                <w:lang w:val="en-US" w:eastAsia="zh-CN" w:bidi="ar"/>
              </w:rPr>
            </w:pP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旗级政务公开工作主管部门负责落实</w:t>
            </w:r>
          </w:p>
        </w:tc>
        <w:tc>
          <w:tcPr>
            <w:tcW w:w="13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161" w:hRule="atLeast"/>
        </w:trPr>
        <w:tc>
          <w:tcPr>
            <w:tcW w:w="90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54</w:t>
            </w:r>
          </w:p>
        </w:tc>
        <w:tc>
          <w:tcPr>
            <w:tcW w:w="2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不得与自治区委托的第三方评估机构开展政务公开咨询、培训、外包等业务合作。</w:t>
            </w: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p>
        </w:tc>
        <w:tc>
          <w:tcPr>
            <w:tcW w:w="23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p>
        </w:tc>
        <w:tc>
          <w:tcPr>
            <w:tcW w:w="13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c>
          <w:tcPr>
            <w:tcW w:w="133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387" w:hRule="atLeast"/>
        </w:trPr>
        <w:tc>
          <w:tcPr>
            <w:tcW w:w="901"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p>
        </w:tc>
        <w:tc>
          <w:tcPr>
            <w:tcW w:w="6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55</w:t>
            </w:r>
          </w:p>
        </w:tc>
        <w:tc>
          <w:tcPr>
            <w:tcW w:w="24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市旗两级政务公开工作主管部门向社会公开发布排名结果或问题通报的，要按程序报本级行政机关主要负责人批准。</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p>
        </w:tc>
        <w:tc>
          <w:tcPr>
            <w:tcW w:w="232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2333" w:hRule="atLeast"/>
        </w:trPr>
        <w:tc>
          <w:tcPr>
            <w:tcW w:w="901"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（二十一）强化监督保障</w:t>
            </w:r>
          </w:p>
        </w:tc>
        <w:tc>
          <w:tcPr>
            <w:tcW w:w="65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56</w:t>
            </w:r>
          </w:p>
        </w:tc>
        <w:tc>
          <w:tcPr>
            <w:tcW w:w="249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高度重视政府信息公开工作年度报告编制工作，严格落实《国务院办公厅政府信息与政务公开办公室关于印发&lt;中华人民共和国政府信息公开工作年度报告格式&gt;的通知》（国办公开办函〔2021〕30号）要求，确保相关情况和数据做到应报尽报，全面准确。</w:t>
            </w:r>
          </w:p>
        </w:tc>
        <w:tc>
          <w:tcPr>
            <w:tcW w:w="46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旗政务公开工作主管部门牵头，指导、推动、监督各地、各部门开展工作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Style w:val="11"/>
                <w:rFonts w:eastAsia="宋体"/>
                <w:lang w:val="en-US" w:eastAsia="zh-CN" w:bidi="ar"/>
              </w:rPr>
              <w:t xml:space="preserve">12 </w:t>
            </w:r>
            <w:r>
              <w:rPr>
                <w:rFonts w:hint="eastAsia" w:ascii="宋体" w:hAnsi="宋体" w:eastAsia="宋体" w:cs="宋体"/>
                <w:i w:val="0"/>
                <w:color w:val="000000"/>
                <w:kern w:val="0"/>
                <w:sz w:val="16"/>
                <w:szCs w:val="16"/>
                <w:u w:val="none"/>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512" w:hRule="atLeast"/>
        </w:trPr>
        <w:tc>
          <w:tcPr>
            <w:tcW w:w="901"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p>
        </w:tc>
        <w:tc>
          <w:tcPr>
            <w:tcW w:w="65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57</w:t>
            </w:r>
          </w:p>
        </w:tc>
        <w:tc>
          <w:tcPr>
            <w:tcW w:w="249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对出现不按时发布、发布内容不准确不全面或者内容雷同、敷衍塞责等问题并造成不良后果的，严肃追究有关责任人和直接责任人责任。</w:t>
            </w:r>
          </w:p>
        </w:tc>
        <w:tc>
          <w:tcPr>
            <w:tcW w:w="46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旗政务公开工作主管部门牵头，指导、推动、监督各地、各部门开展工作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Style w:val="11"/>
                <w:rFonts w:eastAsia="宋体"/>
                <w:lang w:val="en-US" w:eastAsia="zh-CN" w:bidi="ar"/>
              </w:rPr>
              <w:t xml:space="preserve">12 </w:t>
            </w:r>
            <w:r>
              <w:rPr>
                <w:rFonts w:hint="eastAsia" w:ascii="宋体" w:hAnsi="宋体" w:eastAsia="宋体" w:cs="宋体"/>
                <w:i w:val="0"/>
                <w:color w:val="000000"/>
                <w:kern w:val="0"/>
                <w:sz w:val="16"/>
                <w:szCs w:val="16"/>
                <w:u w:val="none"/>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dxa"/>
          <w:trHeight w:val="1717" w:hRule="atLeast"/>
        </w:trPr>
        <w:tc>
          <w:tcPr>
            <w:tcW w:w="901"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（二十二）强化工作落实</w:t>
            </w:r>
          </w:p>
        </w:tc>
        <w:tc>
          <w:tcPr>
            <w:tcW w:w="65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58</w:t>
            </w:r>
          </w:p>
        </w:tc>
        <w:tc>
          <w:tcPr>
            <w:tcW w:w="249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各地、各部门要对照本要点提出的重点任务，梳理形成单位工作台账，明确具体措施、责任主体和时限，逐项推动落实，并于本要点印发后5日内反馈旗政务公开工作领导小组办公室。</w:t>
            </w: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旗政务公开工作主管部门牵头，指导、推动、监督各地、各部门开展工作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Style w:val="11"/>
                <w:rFonts w:hint="eastAsia" w:eastAsia="宋体"/>
                <w:lang w:val="en-US" w:eastAsia="zh-CN" w:bidi="ar"/>
              </w:rPr>
              <w:t>7月中旬前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dxa"/>
          <w:trHeight w:val="1118" w:hRule="atLeast"/>
        </w:trPr>
        <w:tc>
          <w:tcPr>
            <w:tcW w:w="90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59</w:t>
            </w:r>
          </w:p>
        </w:tc>
        <w:tc>
          <w:tcPr>
            <w:tcW w:w="2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pacing w:val="-11"/>
                <w:kern w:val="0"/>
                <w:sz w:val="16"/>
                <w:szCs w:val="16"/>
                <w:u w:val="none"/>
                <w:lang w:val="en-US" w:eastAsia="zh-CN" w:bidi="ar"/>
              </w:rPr>
              <w:t>对上一年度工作要点落实情况开展“回头看”，未完成的要依法整改完成。</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旗政务公开工作主管部门牵头，指导、推动、监督各地、各部门开展工作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Style w:val="11"/>
                <w:rFonts w:hint="eastAsia" w:eastAsia="宋体"/>
                <w:lang w:val="en-US" w:eastAsia="zh-CN" w:bidi="ar"/>
              </w:rPr>
              <w:t>6</w:t>
            </w:r>
            <w:r>
              <w:rPr>
                <w:rStyle w:val="11"/>
                <w:rFonts w:eastAsia="宋体"/>
                <w:lang w:val="en-US" w:eastAsia="zh-CN" w:bidi="ar"/>
              </w:rPr>
              <w:t xml:space="preserve"> </w:t>
            </w:r>
            <w:r>
              <w:rPr>
                <w:rFonts w:hint="eastAsia" w:ascii="宋体" w:hAnsi="宋体" w:eastAsia="宋体" w:cs="宋体"/>
                <w:i w:val="0"/>
                <w:color w:val="000000"/>
                <w:kern w:val="0"/>
                <w:sz w:val="16"/>
                <w:szCs w:val="16"/>
                <w:u w:val="none"/>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820" w:hRule="atLeast"/>
        </w:trPr>
        <w:tc>
          <w:tcPr>
            <w:tcW w:w="90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60</w:t>
            </w:r>
          </w:p>
        </w:tc>
        <w:tc>
          <w:tcPr>
            <w:tcW w:w="2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要将本要点落实情况纳入政府信息公开工作年度报告予以公开，接受社会监督。</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旗政府各委办局负责落实；</w:t>
            </w:r>
          </w:p>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Style w:val="11"/>
                <w:rFonts w:eastAsia="宋体"/>
                <w:lang w:val="en-US" w:eastAsia="zh-CN" w:bidi="ar"/>
              </w:rPr>
              <w:t xml:space="preserve">12 </w:t>
            </w:r>
            <w:r>
              <w:rPr>
                <w:rFonts w:hint="eastAsia" w:ascii="宋体" w:hAnsi="宋体" w:eastAsia="宋体" w:cs="宋体"/>
                <w:i w:val="0"/>
                <w:color w:val="000000"/>
                <w:kern w:val="0"/>
                <w:sz w:val="16"/>
                <w:szCs w:val="16"/>
                <w:u w:val="none"/>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bl>
    <w:p/>
    <w:sectPr>
      <w:headerReference r:id="rId5" w:type="default"/>
      <w:footerReference r:id="rId7" w:type="default"/>
      <w:headerReference r:id="rId6" w:type="even"/>
      <w:footerReference r:id="rId8" w:type="even"/>
      <w:pgSz w:w="15840" w:h="12240" w:orient="landscape"/>
      <w:pgMar w:top="1417" w:right="816" w:bottom="1191" w:left="816" w:header="720" w:footer="720"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rotation:5898240f;z-index:251661312;mso-width-relative:page;mso-height-relative:page;" filled="f" stroked="f" coordsize="21600,21600" o:gfxdata="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a8DIc8AAAAFAQAADwAAAAAAAAABACAAAAAiAAAAZHJzL2Rvd25yZXYueG1s&#10;UEsBAhQAFAAAAAgAh07iQIufDI46AgAAcQQAAA4AAAAAAAAAAQAgAAAAHgEAAGRycy9lMm9Eb2Mu&#10;eG1sUEsFBgAAAAAGAAYAWQEAAMo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sz w:val="24"/>
      </w:rPr>
      <mc:AlternateContent>
        <mc:Choice Requires="wps">
          <w:drawing>
            <wp:anchor distT="0" distB="0" distL="114300" distR="114300" simplePos="0" relativeHeight="251659264" behindDoc="0" locked="0" layoutInCell="1" allowOverlap="1">
              <wp:simplePos x="0" y="0"/>
              <wp:positionH relativeFrom="margin">
                <wp:posOffset>-494665</wp:posOffset>
              </wp:positionH>
              <wp:positionV relativeFrom="paragraph">
                <wp:posOffset>514350</wp:posOffset>
              </wp:positionV>
              <wp:extent cx="539750" cy="264795"/>
              <wp:effectExtent l="137795" t="0" r="0" b="0"/>
              <wp:wrapNone/>
              <wp:docPr id="28" name="文本框 28"/>
              <wp:cNvGraphicFramePr/>
              <a:graphic xmlns:a="http://schemas.openxmlformats.org/drawingml/2006/main">
                <a:graphicData uri="http://schemas.microsoft.com/office/word/2010/wordprocessingShape">
                  <wps:wsp>
                    <wps:cNvSpPr txBox="1"/>
                    <wps:spPr>
                      <a:xfrm rot="5400000">
                        <a:off x="0" y="0"/>
                        <a:ext cx="539750" cy="264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95pt;margin-top:40.5pt;height:20.85pt;width:42.5pt;mso-position-horizontal-relative:margin;rotation:5898240f;z-index:251659264;mso-width-relative:page;mso-height-relative:page;" filled="f" stroked="f" coordsize="21600,21600" o:gfxdata="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LZndYAAAAIAQAADwAAAAAAAAABACAAAAAiAAAAZHJz&#10;L2Rvd25yZXYueG1sUEsBAhQAFAAAAAgAh07iQLocqEA/AgAAcQQAAA4AAAAAAAAAAQAgAAAAJQEA&#10;AGRycy9lMm9Eb2MueG1sUEsFBgAAAAAGAAYAWQEAANYFAAAAAA==&#10;">
              <v:fill on="f" focussize="0,0"/>
              <v:stroke on="f" weight="0.5pt"/>
              <v:imagedata o:title=""/>
              <o:lock v:ext="edit" aspectratio="f"/>
              <v:textbox inset="0mm,0mm,0mm,0mm">
                <w:txbxContent>
                  <w:p>
                    <w:pPr>
                      <w:pStyle w:val="2"/>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NjcwZWM3YTk5YzI1MjMzY2VkMmI0NzFjMzgyOWEifQ=="/>
  </w:docVars>
  <w:rsids>
    <w:rsidRoot w:val="3F833C72"/>
    <w:rsid w:val="1BDA4502"/>
    <w:rsid w:val="23DF7027"/>
    <w:rsid w:val="26226EB3"/>
    <w:rsid w:val="289B0A2A"/>
    <w:rsid w:val="3C8D1DF1"/>
    <w:rsid w:val="3F833C72"/>
    <w:rsid w:val="443F7874"/>
    <w:rsid w:val="45570BED"/>
    <w:rsid w:val="45CD0A92"/>
    <w:rsid w:val="45E56153"/>
    <w:rsid w:val="46F506BE"/>
    <w:rsid w:val="4842439A"/>
    <w:rsid w:val="4ACE3700"/>
    <w:rsid w:val="4D477799"/>
    <w:rsid w:val="4E092CA1"/>
    <w:rsid w:val="4FC13833"/>
    <w:rsid w:val="512B236D"/>
    <w:rsid w:val="69FD14B4"/>
    <w:rsid w:val="6D50157F"/>
    <w:rsid w:val="77334767"/>
    <w:rsid w:val="7FB61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ind w:firstLine="420"/>
    </w:pPr>
    <w:rPr>
      <w:rFonts w:ascii="微软雅黑" w:hAnsi="微软雅黑" w:eastAsia="微软雅黑" w:cstheme="minorBidi"/>
      <w:sz w:val="24"/>
      <w:szCs w:val="22"/>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680"/>
        <w:tab w:val="right" w:pos="9360"/>
      </w:tabs>
      <w:spacing w:after="0" w:line="240" w:lineRule="auto"/>
    </w:pPr>
  </w:style>
  <w:style w:type="paragraph" w:styleId="3">
    <w:name w:val="header"/>
    <w:basedOn w:val="1"/>
    <w:unhideWhenUsed/>
    <w:qFormat/>
    <w:uiPriority w:val="99"/>
    <w:pPr>
      <w:tabs>
        <w:tab w:val="center" w:pos="4680"/>
        <w:tab w:val="right" w:pos="9360"/>
      </w:tabs>
      <w:spacing w:after="0" w:line="240" w:lineRule="auto"/>
    </w:pPr>
  </w:style>
  <w:style w:type="character" w:styleId="6">
    <w:name w:val="Strong"/>
    <w:basedOn w:val="5"/>
    <w:qFormat/>
    <w:uiPriority w:val="0"/>
    <w:rPr>
      <w:b/>
    </w:rPr>
  </w:style>
  <w:style w:type="character" w:styleId="7">
    <w:name w:val="FollowedHyperlink"/>
    <w:basedOn w:val="5"/>
    <w:qFormat/>
    <w:uiPriority w:val="0"/>
    <w:rPr>
      <w:color w:val="333333"/>
      <w:sz w:val="18"/>
      <w:szCs w:val="18"/>
      <w:u w:val="none"/>
    </w:rPr>
  </w:style>
  <w:style w:type="character" w:styleId="8">
    <w:name w:val="Emphasis"/>
    <w:basedOn w:val="5"/>
    <w:qFormat/>
    <w:uiPriority w:val="0"/>
    <w:rPr>
      <w:i/>
    </w:rPr>
  </w:style>
  <w:style w:type="character" w:styleId="9">
    <w:name w:val="Hyperlink"/>
    <w:basedOn w:val="5"/>
    <w:qFormat/>
    <w:uiPriority w:val="0"/>
    <w:rPr>
      <w:color w:val="333333"/>
      <w:sz w:val="18"/>
      <w:szCs w:val="18"/>
      <w:u w:val="none"/>
    </w:rPr>
  </w:style>
  <w:style w:type="character" w:customStyle="1" w:styleId="10">
    <w:name w:val="font21"/>
    <w:basedOn w:val="5"/>
    <w:qFormat/>
    <w:uiPriority w:val="0"/>
    <w:rPr>
      <w:rFonts w:hint="eastAsia" w:ascii="宋体" w:hAnsi="宋体" w:eastAsia="宋体" w:cs="宋体"/>
      <w:color w:val="000000"/>
      <w:sz w:val="16"/>
      <w:szCs w:val="16"/>
      <w:u w:val="none"/>
    </w:rPr>
  </w:style>
  <w:style w:type="character" w:customStyle="1" w:styleId="11">
    <w:name w:val="font01"/>
    <w:basedOn w:val="5"/>
    <w:qFormat/>
    <w:uiPriority w:val="0"/>
    <w:rPr>
      <w:rFonts w:hint="default" w:ascii="Arial" w:hAnsi="Arial" w:cs="Arial"/>
      <w:color w:val="000000"/>
      <w:sz w:val="16"/>
      <w:szCs w:val="16"/>
      <w:u w:val="none"/>
    </w:rPr>
  </w:style>
  <w:style w:type="character" w:customStyle="1" w:styleId="12">
    <w:name w:val="font"/>
    <w:basedOn w:val="5"/>
    <w:qFormat/>
    <w:uiPriority w:val="0"/>
    <w:rPr>
      <w:color w:val="727272"/>
    </w:rPr>
  </w:style>
  <w:style w:type="character" w:customStyle="1" w:styleId="13">
    <w:name w:val="font1"/>
    <w:basedOn w:val="5"/>
    <w:qFormat/>
    <w:uiPriority w:val="0"/>
    <w:rPr>
      <w:color w:val="7272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7717</Words>
  <Characters>8031</Characters>
  <Lines>0</Lines>
  <Paragraphs>0</Paragraphs>
  <TotalTime>5</TotalTime>
  <ScaleCrop>false</ScaleCrop>
  <LinksUpToDate>false</LinksUpToDate>
  <CharactersWithSpaces>8042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2022-07-07T00:59:00Z</dcterms:created>
  <dc:creator>演示人</dc:creator>
  <cp:lastModifiedBy>ᠠᠮᠤᠭᠤᠯᠠᠩ</cp:lastModifiedBy>
  <cp:lastPrinted>2022-07-11T03:24:00Z</cp:lastPrinted>
  <dcterms:modified xsi:type="dcterms:W3CDTF">2022-07-19T08:08:22Z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E150A1A736234C55BAEB5D0B8A199738</vt:lpwstr>
  </property>
</Properties>
</file>