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关于内蒙古蒙药材城2022年加强安全生产工作及高温防暑的通知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各建筑、施工、监理部门：</w:t>
      </w:r>
    </w:p>
    <w:p>
      <w:p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根据自治区、市委、旗委关于加强安全生产工作要求，为进一步营造良好的安全生产氛围，加强安全生产工作，结合内蒙古蒙药材城工作实际，就进一步做好当前安全生产工作提出如下要求：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提高对安全生产工作的认识，清醒认识做好安全生产工作的极端重要性，认真贯彻习近平总书记重要指示精神批示精神，深刻吸取近期国内发生的典型事故教训，进一步强化责任落实，细化监督措施。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严格落实安全生产主体责任制，深入推进安全生产大检查，全面开展安全隐患集中排查整治，通过加强安全管理、加大安全投入、强化技术装备、严格安全监督、严肃责任追究，切实提升安全防范水平和安全生产保障能力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各建筑施工企业要密切关注气象预报。对施工现场大型施工机具、设备要做好防坍塌和防雷击措施，危险地段设置显目的安全警示标志牌。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各建筑、施工、建立单位要对一线施工人员生命和健康高度负责，完善和落实高温期间安全生产责任制，制定应急方案，落实防范措施，各施工企业要为室外作业人员提供良好的工作和休息环境，调整作业时间、合理安排好建筑工地高温作业时间、作息时间。备好防暑药品，戴好劳动防护用品。   </w:t>
      </w: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奈曼旗药材研究发展中心</w:t>
      </w:r>
    </w:p>
    <w:p>
      <w:pPr>
        <w:numPr>
          <w:ilvl w:val="0"/>
          <w:numId w:val="0"/>
        </w:numPr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2022年7月1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AA373"/>
    <w:multiLevelType w:val="singleLevel"/>
    <w:tmpl w:val="FB4AA3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TMwNjY0OTZmNWYzM2Q2YjJkYmU5MzY2MTI3NDcifQ=="/>
  </w:docVars>
  <w:rsids>
    <w:rsidRoot w:val="724E6062"/>
    <w:rsid w:val="6D1F0DE7"/>
    <w:rsid w:val="724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523</Characters>
  <Lines>0</Lines>
  <Paragraphs>0</Paragraphs>
  <TotalTime>6</TotalTime>
  <ScaleCrop>false</ScaleCrop>
  <LinksUpToDate>false</LinksUpToDate>
  <CharactersWithSpaces>588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2022-07-12T02:57:00Z</dcterms:created>
  <dc:creator>阳光灿烂下的小幸福1421138525</dc:creator>
  <cp:lastModifiedBy>阳光灿烂下的小幸福1421138525</cp:lastModifiedBy>
  <dcterms:modified xsi:type="dcterms:W3CDTF">2022-07-12T03:06:52Z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E5ED2763B8164AD4B87471FF564BD060</vt:lpwstr>
  </property>
</Properties>
</file>