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both"/>
        <w:rPr>
          <w:rFonts w:ascii="仿宋_GB2312" w:eastAsia="仿宋_GB2312" w:cs="Times New Roman"/>
          <w:color w:val="000000"/>
          <w:kern w:val="16"/>
          <w:sz w:val="24"/>
        </w:rPr>
      </w:pPr>
    </w:p>
    <w:p>
      <w:pPr>
        <w:widowControl w:val="0"/>
        <w:spacing w:line="360" w:lineRule="auto"/>
        <w:jc w:val="both"/>
        <w:rPr>
          <w:rFonts w:ascii="仿宋_GB2312" w:eastAsia="仿宋_GB2312" w:cs="Times New Roman"/>
          <w:color w:val="000000"/>
          <w:kern w:val="16"/>
          <w:sz w:val="24"/>
        </w:rPr>
      </w:pPr>
    </w:p>
    <w:p>
      <w:pPr>
        <w:widowControl w:val="0"/>
        <w:spacing w:line="360" w:lineRule="auto"/>
        <w:jc w:val="both"/>
        <w:rPr>
          <w:rFonts w:ascii="仿宋_GB2312" w:eastAsia="仿宋_GB2312" w:cs="Times New Roman"/>
          <w:color w:val="000000"/>
          <w:kern w:val="16"/>
          <w:sz w:val="24"/>
        </w:rPr>
      </w:pPr>
    </w:p>
    <w:p>
      <w:pPr>
        <w:widowControl w:val="0"/>
        <w:spacing w:line="360" w:lineRule="auto"/>
        <w:jc w:val="both"/>
        <w:rPr>
          <w:rFonts w:ascii="仿宋_GB2312" w:eastAsia="仿宋_GB2312" w:cs="Times New Roman"/>
          <w:color w:val="000000"/>
          <w:kern w:val="16"/>
          <w:sz w:val="24"/>
        </w:rPr>
      </w:pPr>
    </w:p>
    <w:p>
      <w:pPr>
        <w:widowControl w:val="0"/>
        <w:spacing w:line="360" w:lineRule="auto"/>
        <w:jc w:val="both"/>
        <w:rPr>
          <w:rFonts w:ascii="仿宋_GB2312" w:eastAsia="仿宋_GB2312" w:cs="Times New Roman"/>
          <w:color w:val="000000"/>
          <w:kern w:val="16"/>
          <w:sz w:val="24"/>
        </w:rPr>
      </w:pPr>
    </w:p>
    <w:p>
      <w:pPr>
        <w:widowControl w:val="0"/>
        <w:jc w:val="center"/>
        <w:rPr>
          <w:rFonts w:hint="eastAsia" w:eastAsia="宋体" w:cs="微软雅黑"/>
          <w:b/>
          <w:bCs/>
          <w:color w:val="000000"/>
          <w:kern w:val="16"/>
          <w:sz w:val="52"/>
          <w:szCs w:val="52"/>
        </w:rPr>
      </w:pPr>
      <w:r>
        <w:rPr>
          <w:rFonts w:hint="eastAsia" w:eastAsia="宋体" w:cs="微软雅黑"/>
          <w:b/>
          <w:bCs/>
          <w:color w:val="000000"/>
          <w:kern w:val="16"/>
          <w:sz w:val="52"/>
          <w:szCs w:val="52"/>
        </w:rPr>
        <w:t>2021年度内蒙古自治区通辽市奈曼旗委员会机构编制委员会办公室部门</w:t>
      </w:r>
    </w:p>
    <w:p>
      <w:pPr>
        <w:widowControl w:val="0"/>
        <w:jc w:val="center"/>
        <w:rPr>
          <w:rFonts w:ascii="黑体" w:hAnsi="黑体" w:eastAsia="黑体" w:cs="微软雅黑"/>
          <w:b/>
          <w:bCs/>
          <w:color w:val="000000"/>
          <w:kern w:val="16"/>
          <w:sz w:val="52"/>
          <w:szCs w:val="52"/>
        </w:rPr>
      </w:pPr>
      <w:r>
        <w:rPr>
          <w:rFonts w:hint="eastAsia" w:ascii="黑体" w:hAnsi="黑体" w:eastAsia="黑体" w:cs="微软雅黑"/>
          <w:b/>
          <w:bCs/>
          <w:color w:val="000000"/>
          <w:kern w:val="16"/>
          <w:sz w:val="52"/>
          <w:szCs w:val="52"/>
        </w:rPr>
        <w:t>财务报告</w:t>
      </w:r>
    </w:p>
    <w:p>
      <w:pPr>
        <w:widowControl w:val="0"/>
        <w:spacing w:line="360" w:lineRule="auto"/>
        <w:jc w:val="both"/>
        <w:rPr>
          <w:rFonts w:ascii="仿宋_GB2312" w:eastAsia="仿宋_GB2312" w:cs="Times New Roman"/>
          <w:color w:val="000000"/>
          <w:kern w:val="16"/>
          <w:sz w:val="24"/>
        </w:rPr>
      </w:pPr>
    </w:p>
    <w:p>
      <w:pPr>
        <w:widowControl w:val="0"/>
        <w:spacing w:line="360" w:lineRule="auto"/>
        <w:jc w:val="both"/>
        <w:rPr>
          <w:rFonts w:ascii="仿宋_GB2312" w:eastAsia="仿宋_GB2312" w:cs="Times New Roman"/>
          <w:color w:val="000000"/>
          <w:kern w:val="16"/>
          <w:sz w:val="24"/>
        </w:rPr>
      </w:pPr>
    </w:p>
    <w:p>
      <w:pPr>
        <w:widowControl w:val="0"/>
        <w:spacing w:line="360" w:lineRule="auto"/>
        <w:jc w:val="both"/>
        <w:rPr>
          <w:rFonts w:ascii="仿宋_GB2312" w:eastAsia="仿宋_GB2312" w:cs="Times New Roman"/>
          <w:color w:val="000000"/>
          <w:kern w:val="16"/>
          <w:sz w:val="24"/>
        </w:rPr>
      </w:pPr>
    </w:p>
    <w:p>
      <w:pPr>
        <w:widowControl w:val="0"/>
        <w:spacing w:line="360" w:lineRule="auto"/>
        <w:jc w:val="both"/>
        <w:rPr>
          <w:rFonts w:ascii="仿宋_GB2312" w:eastAsia="仿宋_GB2312" w:cs="Times New Roman"/>
          <w:color w:val="000000"/>
          <w:kern w:val="16"/>
          <w:sz w:val="24"/>
        </w:rPr>
      </w:pPr>
    </w:p>
    <w:p>
      <w:pPr>
        <w:widowControl w:val="0"/>
        <w:spacing w:line="360" w:lineRule="auto"/>
        <w:jc w:val="both"/>
        <w:rPr>
          <w:rFonts w:ascii="仿宋_GB2312" w:eastAsia="仿宋_GB2312" w:cs="Times New Roman"/>
          <w:color w:val="000000"/>
          <w:kern w:val="16"/>
          <w:sz w:val="24"/>
        </w:rPr>
      </w:pPr>
    </w:p>
    <w:p>
      <w:pPr>
        <w:widowControl w:val="0"/>
        <w:spacing w:line="360" w:lineRule="auto"/>
        <w:jc w:val="both"/>
        <w:rPr>
          <w:rFonts w:ascii="仿宋_GB2312" w:eastAsia="仿宋_GB2312" w:cs="Times New Roman"/>
          <w:color w:val="000000"/>
          <w:kern w:val="16"/>
          <w:sz w:val="24"/>
        </w:rPr>
      </w:pPr>
    </w:p>
    <w:p>
      <w:pPr>
        <w:widowControl w:val="0"/>
        <w:spacing w:line="360" w:lineRule="auto"/>
        <w:jc w:val="both"/>
        <w:rPr>
          <w:rFonts w:ascii="仿宋_GB2312" w:eastAsia="仿宋_GB2312" w:cs="Times New Roman"/>
          <w:color w:val="000000"/>
          <w:kern w:val="16"/>
          <w:sz w:val="24"/>
        </w:rPr>
      </w:pPr>
    </w:p>
    <w:p>
      <w:pPr>
        <w:widowControl w:val="0"/>
        <w:jc w:val="center"/>
        <w:outlineLvl w:val="0"/>
        <w:rPr>
          <w:rFonts w:hint="eastAsia" w:eastAsia="宋体" w:cs="华文中宋"/>
          <w:b/>
          <w:bCs/>
          <w:kern w:val="16"/>
          <w:sz w:val="32"/>
          <w:szCs w:val="32"/>
        </w:rPr>
      </w:pPr>
      <w:bookmarkStart w:id="0" w:name="_Toc435363359"/>
      <w:bookmarkStart w:id="1" w:name="_Toc435363575"/>
      <w:bookmarkStart w:id="2" w:name="_Toc435711768"/>
      <w:bookmarkStart w:id="3" w:name="_Toc436083526"/>
      <w:bookmarkStart w:id="4" w:name="_Toc435714296"/>
      <w:bookmarkStart w:id="5" w:name="_Toc435370952"/>
      <w:bookmarkStart w:id="6" w:name="_Toc435362709"/>
      <w:bookmarkStart w:id="7" w:name="_Toc503548883"/>
      <w:bookmarkStart w:id="8" w:name="_Toc35452574"/>
      <w:bookmarkStart w:id="9" w:name="_Toc430698577"/>
      <w:bookmarkStart w:id="10" w:name="_Toc435361472"/>
      <w:bookmarkStart w:id="11" w:name="_Toc435361710"/>
    </w:p>
    <w:p>
      <w:pPr>
        <w:widowControl w:val="0"/>
        <w:jc w:val="center"/>
        <w:outlineLvl w:val="0"/>
        <w:rPr>
          <w:rFonts w:hint="eastAsia" w:eastAsia="宋体" w:cs="华文中宋"/>
          <w:b/>
          <w:bCs/>
          <w:kern w:val="16"/>
          <w:sz w:val="32"/>
          <w:szCs w:val="32"/>
        </w:rPr>
      </w:pPr>
    </w:p>
    <w:p>
      <w:pPr>
        <w:widowControl w:val="0"/>
        <w:jc w:val="center"/>
        <w:outlineLvl w:val="0"/>
        <w:rPr>
          <w:rFonts w:hint="eastAsia" w:eastAsia="宋体" w:cs="华文中宋"/>
          <w:b/>
          <w:bCs/>
          <w:kern w:val="16"/>
          <w:sz w:val="32"/>
          <w:szCs w:val="32"/>
        </w:rPr>
      </w:pPr>
    </w:p>
    <w:p>
      <w:pPr>
        <w:widowControl w:val="0"/>
        <w:jc w:val="center"/>
        <w:outlineLvl w:val="0"/>
        <w:rPr>
          <w:rFonts w:hint="eastAsia" w:eastAsia="宋体" w:cs="华文中宋"/>
          <w:b/>
          <w:bCs/>
          <w:kern w:val="16"/>
          <w:sz w:val="32"/>
          <w:szCs w:val="32"/>
        </w:rPr>
      </w:pPr>
    </w:p>
    <w:p>
      <w:pPr>
        <w:widowControl w:val="0"/>
        <w:jc w:val="center"/>
        <w:outlineLvl w:val="0"/>
        <w:rPr>
          <w:rFonts w:hint="eastAsia" w:eastAsia="宋体" w:cs="华文中宋"/>
          <w:b/>
          <w:bCs/>
          <w:kern w:val="16"/>
          <w:sz w:val="32"/>
          <w:szCs w:val="32"/>
        </w:rPr>
      </w:pPr>
    </w:p>
    <w:p>
      <w:pPr>
        <w:widowControl w:val="0"/>
        <w:jc w:val="center"/>
        <w:outlineLvl w:val="0"/>
        <w:rPr>
          <w:rFonts w:hint="eastAsia" w:eastAsia="宋体" w:cs="华文中宋"/>
          <w:b/>
          <w:bCs/>
          <w:kern w:val="16"/>
          <w:sz w:val="32"/>
          <w:szCs w:val="32"/>
        </w:rPr>
      </w:pPr>
    </w:p>
    <w:p>
      <w:pPr>
        <w:widowControl w:val="0"/>
        <w:jc w:val="center"/>
        <w:outlineLvl w:val="0"/>
        <w:rPr>
          <w:rFonts w:hint="eastAsia" w:eastAsia="宋体" w:cs="华文中宋"/>
          <w:b/>
          <w:bCs/>
          <w:kern w:val="16"/>
          <w:sz w:val="32"/>
          <w:szCs w:val="32"/>
        </w:rPr>
      </w:pPr>
    </w:p>
    <w:p>
      <w:pPr>
        <w:widowControl w:val="0"/>
        <w:jc w:val="center"/>
        <w:outlineLvl w:val="0"/>
        <w:rPr>
          <w:rFonts w:hint="eastAsia" w:eastAsia="宋体" w:cs="华文中宋"/>
          <w:b/>
          <w:bCs/>
          <w:kern w:val="16"/>
          <w:sz w:val="32"/>
          <w:szCs w:val="32"/>
        </w:rPr>
      </w:pPr>
    </w:p>
    <w:p>
      <w:pPr>
        <w:widowControl w:val="0"/>
        <w:jc w:val="center"/>
        <w:outlineLvl w:val="0"/>
        <w:rPr>
          <w:rFonts w:eastAsia="宋体" w:cs="华文中宋"/>
          <w:b/>
          <w:bCs/>
          <w:kern w:val="16"/>
          <w:sz w:val="32"/>
          <w:szCs w:val="32"/>
        </w:rPr>
      </w:pPr>
      <w:r>
        <w:rPr>
          <w:rFonts w:hint="eastAsia" w:eastAsia="宋体" w:cs="华文中宋"/>
          <w:b/>
          <w:bCs/>
          <w:kern w:val="16"/>
          <w:sz w:val="32"/>
          <w:szCs w:val="32"/>
        </w:rPr>
        <w:t xml:space="preserve">目 </w:t>
      </w:r>
      <w:r>
        <w:rPr>
          <w:rFonts w:eastAsia="宋体" w:cs="华文中宋"/>
          <w:b/>
          <w:bCs/>
          <w:kern w:val="16"/>
          <w:sz w:val="32"/>
          <w:szCs w:val="32"/>
        </w:rPr>
        <w:t xml:space="preserve"> </w:t>
      </w:r>
      <w:r>
        <w:rPr>
          <w:rFonts w:hint="eastAsia" w:eastAsia="宋体" w:cs="华文中宋"/>
          <w:b/>
          <w:bCs/>
          <w:kern w:val="16"/>
          <w:sz w:val="32"/>
          <w:szCs w:val="32"/>
        </w:rPr>
        <w:t>录</w:t>
      </w:r>
      <w:bookmarkEnd w:id="0"/>
      <w:bookmarkEnd w:id="1"/>
      <w:bookmarkEnd w:id="2"/>
      <w:bookmarkEnd w:id="3"/>
      <w:bookmarkEnd w:id="4"/>
      <w:bookmarkEnd w:id="5"/>
      <w:bookmarkEnd w:id="6"/>
      <w:bookmarkEnd w:id="7"/>
      <w:bookmarkEnd w:id="8"/>
    </w:p>
    <w:bookmarkEnd w:id="9"/>
    <w:bookmarkEnd w:id="10"/>
    <w:bookmarkEnd w:id="11"/>
    <w:p>
      <w:pPr>
        <w:pStyle w:val="22"/>
        <w:tabs>
          <w:tab w:val="right" w:leader="dot" w:pos="9498"/>
        </w:tabs>
        <w:spacing w:before="0" w:after="0" w:line="360" w:lineRule="auto"/>
        <w:ind w:left="385" w:leftChars="175" w:right="220"/>
        <w:rPr>
          <w:rFonts w:ascii="宋体" w:hAnsi="宋体" w:eastAsia="宋体" w:cstheme="minorBidi"/>
          <w:bCs w:val="0"/>
          <w:caps w:val="0"/>
          <w:kern w:val="2"/>
          <w:sz w:val="24"/>
          <w:szCs w:val="24"/>
        </w:rPr>
      </w:pPr>
      <w:r>
        <w:rPr>
          <w:rFonts w:ascii="宋体" w:hAnsi="宋体" w:eastAsia="宋体"/>
          <w:b w:val="0"/>
          <w:smallCaps/>
          <w:sz w:val="24"/>
          <w:szCs w:val="24"/>
        </w:rPr>
        <w:fldChar w:fldCharType="begin"/>
      </w:r>
      <w:r>
        <w:rPr>
          <w:rFonts w:ascii="宋体" w:hAnsi="宋体" w:eastAsia="宋体"/>
          <w:b w:val="0"/>
          <w:smallCaps/>
          <w:sz w:val="24"/>
          <w:szCs w:val="24"/>
        </w:rPr>
        <w:instrText xml:space="preserve"> TOC \o "1-3" \h \z \u </w:instrText>
      </w:r>
      <w:r>
        <w:rPr>
          <w:rFonts w:ascii="宋体" w:hAnsi="宋体" w:eastAsia="宋体"/>
          <w:b w:val="0"/>
          <w:smallCaps/>
          <w:sz w:val="24"/>
          <w:szCs w:val="24"/>
        </w:rPr>
        <w:fldChar w:fldCharType="separate"/>
      </w:r>
      <w:r>
        <w:fldChar w:fldCharType="begin"/>
      </w:r>
      <w:r>
        <w:instrText xml:space="preserve"> HYPERLINK \l "_Toc35500801" </w:instrText>
      </w:r>
      <w:r>
        <w:fldChar w:fldCharType="separate"/>
      </w:r>
      <w:r>
        <w:rPr>
          <w:rStyle w:val="40"/>
          <w:rFonts w:ascii="宋体" w:hAnsi="宋体" w:eastAsia="宋体"/>
          <w:sz w:val="24"/>
          <w:szCs w:val="24"/>
        </w:rPr>
        <w:t>一、政府部门财务报表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_Toc35500801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27"/>
        <w:tabs>
          <w:tab w:val="right" w:leader="dot" w:pos="9498"/>
        </w:tabs>
        <w:spacing w:line="360" w:lineRule="auto"/>
        <w:ind w:left="605" w:leftChars="275" w:right="220"/>
        <w:rPr>
          <w:rFonts w:ascii="宋体" w:hAnsi="宋体" w:eastAsia="宋体" w:cstheme="minorBidi"/>
          <w:smallCaps w:val="0"/>
          <w:kern w:val="2"/>
          <w:sz w:val="24"/>
          <w:szCs w:val="24"/>
        </w:rPr>
      </w:pPr>
      <w:r>
        <w:fldChar w:fldCharType="begin"/>
      </w:r>
      <w:r>
        <w:instrText xml:space="preserve"> HYPERLINK \l "_Toc35500802" </w:instrText>
      </w:r>
      <w:r>
        <w:fldChar w:fldCharType="separate"/>
      </w:r>
      <w:r>
        <w:rPr>
          <w:rStyle w:val="40"/>
          <w:rFonts w:ascii="宋体" w:hAnsi="宋体" w:eastAsia="宋体"/>
          <w:sz w:val="24"/>
          <w:szCs w:val="24"/>
        </w:rPr>
        <w:t>（一）政府部门会计报表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_Toc35500802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17"/>
        <w:tabs>
          <w:tab w:val="right" w:leader="dot" w:pos="9498"/>
        </w:tabs>
        <w:spacing w:line="360" w:lineRule="auto"/>
        <w:ind w:left="1045" w:leftChars="475" w:right="220"/>
        <w:rPr>
          <w:rFonts w:ascii="宋体" w:hAnsi="宋体" w:eastAsia="宋体" w:cstheme="minorBidi"/>
          <w:i w:val="0"/>
          <w:iCs w:val="0"/>
          <w:kern w:val="2"/>
          <w:sz w:val="24"/>
          <w:szCs w:val="24"/>
        </w:rPr>
      </w:pPr>
      <w:r>
        <w:fldChar w:fldCharType="begin"/>
      </w:r>
      <w:r>
        <w:instrText xml:space="preserve"> HYPERLINK \l "_Toc35500803" </w:instrText>
      </w:r>
      <w:r>
        <w:fldChar w:fldCharType="separate"/>
      </w:r>
      <w:r>
        <w:rPr>
          <w:rStyle w:val="40"/>
          <w:rFonts w:ascii="宋体" w:hAnsi="宋体" w:eastAsia="宋体"/>
          <w:bCs/>
          <w:i w:val="0"/>
          <w:sz w:val="24"/>
          <w:szCs w:val="24"/>
        </w:rPr>
        <w:t>资产负债表</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_Toc35500803 \h </w:instrText>
      </w:r>
      <w:r>
        <w:rPr>
          <w:rFonts w:ascii="宋体" w:hAnsi="宋体" w:eastAsia="宋体"/>
          <w:i w:val="0"/>
          <w:sz w:val="24"/>
          <w:szCs w:val="24"/>
        </w:rPr>
        <w:fldChar w:fldCharType="separate"/>
      </w:r>
      <w:r>
        <w:rPr>
          <w:rFonts w:ascii="宋体" w:hAnsi="宋体" w:eastAsia="宋体"/>
          <w:i w:val="0"/>
          <w:sz w:val="24"/>
          <w:szCs w:val="24"/>
        </w:rPr>
        <w:t>1</w:t>
      </w:r>
      <w:r>
        <w:rPr>
          <w:rFonts w:ascii="宋体" w:hAnsi="宋体" w:eastAsia="宋体"/>
          <w:i w:val="0"/>
          <w:sz w:val="24"/>
          <w:szCs w:val="24"/>
        </w:rPr>
        <w:fldChar w:fldCharType="end"/>
      </w:r>
      <w:r>
        <w:rPr>
          <w:rFonts w:ascii="宋体" w:hAnsi="宋体" w:eastAsia="宋体"/>
          <w:i w:val="0"/>
          <w:sz w:val="24"/>
          <w:szCs w:val="24"/>
        </w:rPr>
        <w:fldChar w:fldCharType="end"/>
      </w:r>
    </w:p>
    <w:p>
      <w:pPr>
        <w:pStyle w:val="17"/>
        <w:tabs>
          <w:tab w:val="right" w:leader="dot" w:pos="9498"/>
        </w:tabs>
        <w:spacing w:line="360" w:lineRule="auto"/>
        <w:ind w:left="1045" w:leftChars="475" w:right="220"/>
        <w:rPr>
          <w:rFonts w:ascii="宋体" w:hAnsi="宋体" w:eastAsia="宋体" w:cstheme="minorBidi"/>
          <w:i w:val="0"/>
          <w:iCs w:val="0"/>
          <w:kern w:val="2"/>
          <w:sz w:val="24"/>
          <w:szCs w:val="24"/>
        </w:rPr>
      </w:pPr>
      <w:r>
        <w:fldChar w:fldCharType="begin"/>
      </w:r>
      <w:r>
        <w:instrText xml:space="preserve"> HYPERLINK \l "_Toc35500804" </w:instrText>
      </w:r>
      <w:r>
        <w:fldChar w:fldCharType="separate"/>
      </w:r>
      <w:r>
        <w:rPr>
          <w:rStyle w:val="40"/>
          <w:rFonts w:ascii="宋体" w:hAnsi="宋体" w:eastAsia="宋体"/>
          <w:bCs/>
          <w:i w:val="0"/>
          <w:sz w:val="24"/>
          <w:szCs w:val="24"/>
        </w:rPr>
        <w:t>收入费用表（1）</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_Toc35500804 \h </w:instrText>
      </w:r>
      <w:r>
        <w:rPr>
          <w:rFonts w:ascii="宋体" w:hAnsi="宋体" w:eastAsia="宋体"/>
          <w:i w:val="0"/>
          <w:sz w:val="24"/>
          <w:szCs w:val="24"/>
        </w:rPr>
        <w:fldChar w:fldCharType="separate"/>
      </w:r>
      <w:r>
        <w:rPr>
          <w:rFonts w:ascii="宋体" w:hAnsi="宋体" w:eastAsia="宋体"/>
          <w:i w:val="0"/>
          <w:sz w:val="24"/>
          <w:szCs w:val="24"/>
        </w:rPr>
        <w:t>3</w:t>
      </w:r>
      <w:r>
        <w:rPr>
          <w:rFonts w:ascii="宋体" w:hAnsi="宋体" w:eastAsia="宋体"/>
          <w:i w:val="0"/>
          <w:sz w:val="24"/>
          <w:szCs w:val="24"/>
        </w:rPr>
        <w:fldChar w:fldCharType="end"/>
      </w:r>
      <w:r>
        <w:rPr>
          <w:rFonts w:ascii="宋体" w:hAnsi="宋体" w:eastAsia="宋体"/>
          <w:i w:val="0"/>
          <w:sz w:val="24"/>
          <w:szCs w:val="24"/>
        </w:rPr>
        <w:fldChar w:fldCharType="end"/>
      </w:r>
    </w:p>
    <w:p>
      <w:pPr>
        <w:pStyle w:val="17"/>
        <w:tabs>
          <w:tab w:val="right" w:leader="dot" w:pos="9498"/>
        </w:tabs>
        <w:spacing w:line="360" w:lineRule="auto"/>
        <w:ind w:left="1045" w:leftChars="475" w:right="220"/>
        <w:rPr>
          <w:rFonts w:ascii="宋体" w:hAnsi="宋体" w:eastAsia="宋体" w:cstheme="minorBidi"/>
          <w:i w:val="0"/>
          <w:iCs w:val="0"/>
          <w:kern w:val="2"/>
          <w:sz w:val="24"/>
          <w:szCs w:val="24"/>
        </w:rPr>
      </w:pPr>
      <w:r>
        <w:fldChar w:fldCharType="begin"/>
      </w:r>
      <w:r>
        <w:instrText xml:space="preserve"> HYPERLINK \l "_Toc35500805" </w:instrText>
      </w:r>
      <w:r>
        <w:fldChar w:fldCharType="separate"/>
      </w:r>
      <w:r>
        <w:rPr>
          <w:rStyle w:val="40"/>
          <w:rFonts w:ascii="宋体" w:hAnsi="宋体" w:eastAsia="宋体"/>
          <w:bCs/>
          <w:i w:val="0"/>
          <w:sz w:val="24"/>
          <w:szCs w:val="24"/>
        </w:rPr>
        <w:t>收入费用表（2）</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_Toc35500805 \h </w:instrText>
      </w:r>
      <w:r>
        <w:rPr>
          <w:rFonts w:ascii="宋体" w:hAnsi="宋体" w:eastAsia="宋体"/>
          <w:i w:val="0"/>
          <w:sz w:val="24"/>
          <w:szCs w:val="24"/>
        </w:rPr>
        <w:fldChar w:fldCharType="separate"/>
      </w:r>
      <w:r>
        <w:rPr>
          <w:rFonts w:ascii="宋体" w:hAnsi="宋体" w:eastAsia="宋体"/>
          <w:i w:val="0"/>
          <w:sz w:val="24"/>
          <w:szCs w:val="24"/>
        </w:rPr>
        <w:t>3</w:t>
      </w:r>
      <w:r>
        <w:rPr>
          <w:rFonts w:ascii="宋体" w:hAnsi="宋体" w:eastAsia="宋体"/>
          <w:i w:val="0"/>
          <w:sz w:val="24"/>
          <w:szCs w:val="24"/>
        </w:rPr>
        <w:fldChar w:fldCharType="end"/>
      </w:r>
      <w:r>
        <w:rPr>
          <w:rFonts w:ascii="宋体" w:hAnsi="宋体" w:eastAsia="宋体"/>
          <w:i w:val="0"/>
          <w:sz w:val="24"/>
          <w:szCs w:val="24"/>
        </w:rPr>
        <w:fldChar w:fldCharType="end"/>
      </w:r>
    </w:p>
    <w:p>
      <w:pPr>
        <w:pStyle w:val="27"/>
        <w:tabs>
          <w:tab w:val="right" w:leader="dot" w:pos="9498"/>
        </w:tabs>
        <w:spacing w:line="360" w:lineRule="auto"/>
        <w:ind w:left="605" w:leftChars="275" w:right="220"/>
        <w:rPr>
          <w:rFonts w:ascii="宋体" w:hAnsi="宋体" w:eastAsia="宋体" w:cstheme="minorBidi"/>
          <w:smallCaps w:val="0"/>
          <w:kern w:val="2"/>
          <w:sz w:val="24"/>
          <w:szCs w:val="24"/>
        </w:rPr>
      </w:pPr>
      <w:r>
        <w:fldChar w:fldCharType="begin"/>
      </w:r>
      <w:r>
        <w:instrText xml:space="preserve"> HYPERLINK \l "_Toc35500806" </w:instrText>
      </w:r>
      <w:r>
        <w:fldChar w:fldCharType="separate"/>
      </w:r>
      <w:r>
        <w:rPr>
          <w:rStyle w:val="40"/>
          <w:rFonts w:ascii="宋体" w:hAnsi="宋体" w:eastAsia="宋体"/>
          <w:sz w:val="24"/>
          <w:szCs w:val="24"/>
        </w:rPr>
        <w:t>（二）政府部门会计报表附注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_Toc35500806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17"/>
        <w:tabs>
          <w:tab w:val="right" w:leader="dot" w:pos="9498"/>
        </w:tabs>
        <w:spacing w:line="360" w:lineRule="auto"/>
        <w:ind w:left="1045" w:leftChars="475" w:right="220"/>
        <w:rPr>
          <w:rFonts w:ascii="宋体" w:hAnsi="宋体" w:eastAsia="宋体" w:cstheme="minorBidi"/>
          <w:i w:val="0"/>
          <w:iCs w:val="0"/>
          <w:kern w:val="2"/>
          <w:sz w:val="24"/>
          <w:szCs w:val="24"/>
        </w:rPr>
      </w:pPr>
      <w:r>
        <w:fldChar w:fldCharType="begin"/>
      </w:r>
      <w:r>
        <w:instrText xml:space="preserve"> HYPERLINK \l "_Toc35500807" </w:instrText>
      </w:r>
      <w:r>
        <w:fldChar w:fldCharType="separate"/>
      </w:r>
      <w:r>
        <w:rPr>
          <w:rStyle w:val="40"/>
          <w:rFonts w:ascii="宋体" w:hAnsi="宋体" w:eastAsia="宋体"/>
          <w:i w:val="0"/>
          <w:sz w:val="24"/>
          <w:szCs w:val="24"/>
        </w:rPr>
        <w:t>1.会计报表编制基础</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_Toc35500807 \h </w:instrText>
      </w:r>
      <w:r>
        <w:rPr>
          <w:rFonts w:ascii="宋体" w:hAnsi="宋体" w:eastAsia="宋体"/>
          <w:i w:val="0"/>
          <w:sz w:val="24"/>
          <w:szCs w:val="24"/>
        </w:rPr>
        <w:fldChar w:fldCharType="separate"/>
      </w:r>
      <w:r>
        <w:rPr>
          <w:rFonts w:ascii="宋体" w:hAnsi="宋体" w:eastAsia="宋体"/>
          <w:i w:val="0"/>
          <w:sz w:val="24"/>
          <w:szCs w:val="24"/>
        </w:rPr>
        <w:t>4</w:t>
      </w:r>
      <w:r>
        <w:rPr>
          <w:rFonts w:ascii="宋体" w:hAnsi="宋体" w:eastAsia="宋体"/>
          <w:i w:val="0"/>
          <w:sz w:val="24"/>
          <w:szCs w:val="24"/>
        </w:rPr>
        <w:fldChar w:fldCharType="end"/>
      </w:r>
      <w:r>
        <w:rPr>
          <w:rFonts w:ascii="宋体" w:hAnsi="宋体" w:eastAsia="宋体"/>
          <w:i w:val="0"/>
          <w:sz w:val="24"/>
          <w:szCs w:val="24"/>
        </w:rPr>
        <w:fldChar w:fldCharType="end"/>
      </w:r>
    </w:p>
    <w:p>
      <w:pPr>
        <w:pStyle w:val="17"/>
        <w:tabs>
          <w:tab w:val="right" w:leader="dot" w:pos="9498"/>
        </w:tabs>
        <w:spacing w:line="360" w:lineRule="auto"/>
        <w:ind w:left="1045" w:leftChars="475" w:right="220"/>
        <w:rPr>
          <w:rFonts w:ascii="宋体" w:hAnsi="宋体" w:eastAsia="宋体" w:cstheme="minorBidi"/>
          <w:i w:val="0"/>
          <w:iCs w:val="0"/>
          <w:kern w:val="2"/>
          <w:sz w:val="24"/>
          <w:szCs w:val="24"/>
        </w:rPr>
      </w:pPr>
      <w:r>
        <w:fldChar w:fldCharType="begin"/>
      </w:r>
      <w:r>
        <w:instrText xml:space="preserve"> HYPERLINK \l "_Toc35500808" </w:instrText>
      </w:r>
      <w:r>
        <w:fldChar w:fldCharType="separate"/>
      </w:r>
      <w:r>
        <w:rPr>
          <w:rStyle w:val="40"/>
          <w:rFonts w:ascii="宋体" w:hAnsi="宋体" w:eastAsia="宋体"/>
          <w:i w:val="0"/>
          <w:sz w:val="24"/>
          <w:szCs w:val="24"/>
        </w:rPr>
        <w:t>2.遵循相关制度规定的声明</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_Toc35500808 \h </w:instrText>
      </w:r>
      <w:r>
        <w:rPr>
          <w:rFonts w:ascii="宋体" w:hAnsi="宋体" w:eastAsia="宋体"/>
          <w:i w:val="0"/>
          <w:sz w:val="24"/>
          <w:szCs w:val="24"/>
        </w:rPr>
        <w:fldChar w:fldCharType="separate"/>
      </w:r>
      <w:r>
        <w:rPr>
          <w:rFonts w:ascii="宋体" w:hAnsi="宋体" w:eastAsia="宋体"/>
          <w:i w:val="0"/>
          <w:sz w:val="24"/>
          <w:szCs w:val="24"/>
        </w:rPr>
        <w:t>5</w:t>
      </w:r>
      <w:r>
        <w:rPr>
          <w:rFonts w:ascii="宋体" w:hAnsi="宋体" w:eastAsia="宋体"/>
          <w:i w:val="0"/>
          <w:sz w:val="24"/>
          <w:szCs w:val="24"/>
        </w:rPr>
        <w:fldChar w:fldCharType="end"/>
      </w:r>
      <w:r>
        <w:rPr>
          <w:rFonts w:ascii="宋体" w:hAnsi="宋体" w:eastAsia="宋体"/>
          <w:i w:val="0"/>
          <w:sz w:val="24"/>
          <w:szCs w:val="24"/>
        </w:rPr>
        <w:fldChar w:fldCharType="end"/>
      </w:r>
    </w:p>
    <w:p>
      <w:pPr>
        <w:pStyle w:val="17"/>
        <w:tabs>
          <w:tab w:val="right" w:leader="dot" w:pos="9498"/>
        </w:tabs>
        <w:spacing w:line="360" w:lineRule="auto"/>
        <w:ind w:left="1045" w:leftChars="475" w:right="220"/>
        <w:rPr>
          <w:rFonts w:ascii="宋体" w:hAnsi="宋体" w:eastAsia="宋体" w:cstheme="minorBidi"/>
          <w:i w:val="0"/>
          <w:iCs w:val="0"/>
          <w:kern w:val="2"/>
          <w:sz w:val="24"/>
          <w:szCs w:val="24"/>
        </w:rPr>
      </w:pPr>
      <w:r>
        <w:fldChar w:fldCharType="begin"/>
      </w:r>
      <w:r>
        <w:instrText xml:space="preserve"> HYPERLINK \l "_Toc35500809" </w:instrText>
      </w:r>
      <w:r>
        <w:fldChar w:fldCharType="separate"/>
      </w:r>
      <w:r>
        <w:rPr>
          <w:rStyle w:val="40"/>
          <w:rFonts w:ascii="宋体" w:hAnsi="宋体" w:eastAsia="宋体"/>
          <w:i w:val="0"/>
          <w:sz w:val="24"/>
          <w:szCs w:val="24"/>
        </w:rPr>
        <w:t>3.合并范围</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_Toc35500809 \h </w:instrText>
      </w:r>
      <w:r>
        <w:rPr>
          <w:rFonts w:ascii="宋体" w:hAnsi="宋体" w:eastAsia="宋体"/>
          <w:i w:val="0"/>
          <w:sz w:val="24"/>
          <w:szCs w:val="24"/>
        </w:rPr>
        <w:fldChar w:fldCharType="separate"/>
      </w:r>
      <w:r>
        <w:rPr>
          <w:rFonts w:ascii="宋体" w:hAnsi="宋体" w:eastAsia="宋体"/>
          <w:i w:val="0"/>
          <w:sz w:val="24"/>
          <w:szCs w:val="24"/>
        </w:rPr>
        <w:t>5</w:t>
      </w:r>
      <w:r>
        <w:rPr>
          <w:rFonts w:ascii="宋体" w:hAnsi="宋体" w:eastAsia="宋体"/>
          <w:i w:val="0"/>
          <w:sz w:val="24"/>
          <w:szCs w:val="24"/>
        </w:rPr>
        <w:fldChar w:fldCharType="end"/>
      </w:r>
      <w:r>
        <w:rPr>
          <w:rFonts w:ascii="宋体" w:hAnsi="宋体" w:eastAsia="宋体"/>
          <w:i w:val="0"/>
          <w:sz w:val="24"/>
          <w:szCs w:val="24"/>
        </w:rPr>
        <w:fldChar w:fldCharType="end"/>
      </w:r>
    </w:p>
    <w:p>
      <w:pPr>
        <w:pStyle w:val="17"/>
        <w:tabs>
          <w:tab w:val="right" w:leader="dot" w:pos="9498"/>
        </w:tabs>
        <w:spacing w:line="360" w:lineRule="auto"/>
        <w:ind w:left="1045" w:leftChars="475" w:right="220"/>
        <w:rPr>
          <w:rFonts w:ascii="宋体" w:hAnsi="宋体" w:eastAsia="宋体" w:cstheme="minorBidi"/>
          <w:i w:val="0"/>
          <w:iCs w:val="0"/>
          <w:kern w:val="2"/>
          <w:sz w:val="24"/>
          <w:szCs w:val="24"/>
        </w:rPr>
      </w:pPr>
      <w:r>
        <w:fldChar w:fldCharType="begin"/>
      </w:r>
      <w:r>
        <w:instrText xml:space="preserve"> HYPERLINK \l "_Toc35500810" </w:instrText>
      </w:r>
      <w:r>
        <w:fldChar w:fldCharType="separate"/>
      </w:r>
      <w:r>
        <w:rPr>
          <w:rStyle w:val="40"/>
          <w:rFonts w:ascii="宋体" w:hAnsi="宋体" w:eastAsia="宋体"/>
          <w:i w:val="0"/>
          <w:sz w:val="24"/>
          <w:szCs w:val="24"/>
        </w:rPr>
        <w:t>4.重要会计政策与会计估计变更情况</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_Toc35500810 \h </w:instrText>
      </w:r>
      <w:r>
        <w:rPr>
          <w:rFonts w:ascii="宋体" w:hAnsi="宋体" w:eastAsia="宋体"/>
          <w:i w:val="0"/>
          <w:sz w:val="24"/>
          <w:szCs w:val="24"/>
        </w:rPr>
        <w:fldChar w:fldCharType="separate"/>
      </w:r>
      <w:r>
        <w:rPr>
          <w:rFonts w:ascii="宋体" w:hAnsi="宋体" w:eastAsia="宋体"/>
          <w:i w:val="0"/>
          <w:sz w:val="24"/>
          <w:szCs w:val="24"/>
        </w:rPr>
        <w:t>5</w:t>
      </w:r>
      <w:r>
        <w:rPr>
          <w:rFonts w:ascii="宋体" w:hAnsi="宋体" w:eastAsia="宋体"/>
          <w:i w:val="0"/>
          <w:sz w:val="24"/>
          <w:szCs w:val="24"/>
        </w:rPr>
        <w:fldChar w:fldCharType="end"/>
      </w:r>
      <w:r>
        <w:rPr>
          <w:rFonts w:ascii="宋体" w:hAnsi="宋体" w:eastAsia="宋体"/>
          <w:i w:val="0"/>
          <w:sz w:val="24"/>
          <w:szCs w:val="24"/>
        </w:rPr>
        <w:fldChar w:fldCharType="end"/>
      </w:r>
    </w:p>
    <w:p>
      <w:pPr>
        <w:pStyle w:val="17"/>
        <w:tabs>
          <w:tab w:val="right" w:leader="dot" w:pos="9498"/>
        </w:tabs>
        <w:spacing w:line="360" w:lineRule="auto"/>
        <w:ind w:left="1045" w:leftChars="475" w:right="220"/>
        <w:rPr>
          <w:rFonts w:ascii="宋体" w:hAnsi="宋体" w:eastAsia="宋体" w:cstheme="minorBidi"/>
          <w:i w:val="0"/>
          <w:iCs w:val="0"/>
          <w:kern w:val="2"/>
          <w:sz w:val="24"/>
          <w:szCs w:val="24"/>
        </w:rPr>
      </w:pPr>
      <w:r>
        <w:fldChar w:fldCharType="begin"/>
      </w:r>
      <w:r>
        <w:instrText xml:space="preserve"> HYPERLINK \l "_Toc35500811" </w:instrText>
      </w:r>
      <w:r>
        <w:fldChar w:fldCharType="separate"/>
      </w:r>
      <w:r>
        <w:rPr>
          <w:rStyle w:val="40"/>
          <w:rFonts w:ascii="宋体" w:hAnsi="宋体" w:eastAsia="宋体"/>
          <w:i w:val="0"/>
          <w:sz w:val="24"/>
          <w:szCs w:val="24"/>
        </w:rPr>
        <w:t>5.会计报表重要项目的明细信息及说明</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_Toc35500811 \h </w:instrText>
      </w:r>
      <w:r>
        <w:rPr>
          <w:rFonts w:ascii="宋体" w:hAnsi="宋体" w:eastAsia="宋体"/>
          <w:i w:val="0"/>
          <w:sz w:val="24"/>
          <w:szCs w:val="24"/>
        </w:rPr>
        <w:fldChar w:fldCharType="separate"/>
      </w:r>
      <w:r>
        <w:rPr>
          <w:rFonts w:ascii="宋体" w:hAnsi="宋体" w:eastAsia="宋体"/>
          <w:i w:val="0"/>
          <w:sz w:val="24"/>
          <w:szCs w:val="24"/>
        </w:rPr>
        <w:t>6</w:t>
      </w:r>
      <w:r>
        <w:rPr>
          <w:rFonts w:ascii="宋体" w:hAnsi="宋体" w:eastAsia="宋体"/>
          <w:i w:val="0"/>
          <w:sz w:val="24"/>
          <w:szCs w:val="24"/>
        </w:rPr>
        <w:fldChar w:fldCharType="end"/>
      </w:r>
      <w:r>
        <w:rPr>
          <w:rFonts w:ascii="宋体" w:hAnsi="宋体" w:eastAsia="宋体"/>
          <w:i w:val="0"/>
          <w:sz w:val="24"/>
          <w:szCs w:val="24"/>
        </w:rPr>
        <w:fldChar w:fldCharType="end"/>
      </w:r>
    </w:p>
    <w:p>
      <w:pPr>
        <w:pStyle w:val="17"/>
        <w:tabs>
          <w:tab w:val="right" w:leader="dot" w:pos="9498"/>
        </w:tabs>
        <w:spacing w:line="360" w:lineRule="auto"/>
        <w:ind w:left="1045" w:leftChars="475" w:right="220"/>
        <w:rPr>
          <w:rFonts w:ascii="宋体" w:hAnsi="宋体" w:eastAsia="宋体" w:cstheme="minorBidi"/>
          <w:i w:val="0"/>
          <w:iCs w:val="0"/>
          <w:kern w:val="2"/>
          <w:sz w:val="24"/>
          <w:szCs w:val="24"/>
        </w:rPr>
      </w:pPr>
      <w:r>
        <w:fldChar w:fldCharType="begin"/>
      </w:r>
      <w:r>
        <w:instrText xml:space="preserve"> HYPERLINK \l "_Toc35500812" </w:instrText>
      </w:r>
      <w:r>
        <w:fldChar w:fldCharType="separate"/>
      </w:r>
      <w:r>
        <w:rPr>
          <w:rStyle w:val="40"/>
          <w:rFonts w:ascii="宋体" w:hAnsi="宋体" w:eastAsia="宋体"/>
          <w:i w:val="0"/>
          <w:sz w:val="24"/>
          <w:szCs w:val="24"/>
        </w:rPr>
        <w:t>6.需要说明的其他事项</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_Toc35500812 \h </w:instrText>
      </w:r>
      <w:r>
        <w:rPr>
          <w:rFonts w:ascii="宋体" w:hAnsi="宋体" w:eastAsia="宋体"/>
          <w:i w:val="0"/>
          <w:sz w:val="24"/>
          <w:szCs w:val="24"/>
        </w:rPr>
        <w:fldChar w:fldCharType="separate"/>
      </w:r>
      <w:r>
        <w:rPr>
          <w:rFonts w:ascii="宋体" w:hAnsi="宋体" w:eastAsia="宋体"/>
          <w:i w:val="0"/>
          <w:sz w:val="24"/>
          <w:szCs w:val="24"/>
        </w:rPr>
        <w:t>12</w:t>
      </w:r>
      <w:r>
        <w:rPr>
          <w:rFonts w:ascii="宋体" w:hAnsi="宋体" w:eastAsia="宋体"/>
          <w:i w:val="0"/>
          <w:sz w:val="24"/>
          <w:szCs w:val="24"/>
        </w:rPr>
        <w:fldChar w:fldCharType="end"/>
      </w:r>
      <w:r>
        <w:rPr>
          <w:rFonts w:ascii="宋体" w:hAnsi="宋体" w:eastAsia="宋体"/>
          <w:i w:val="0"/>
          <w:sz w:val="24"/>
          <w:szCs w:val="24"/>
        </w:rPr>
        <w:fldChar w:fldCharType="end"/>
      </w:r>
    </w:p>
    <w:p>
      <w:pPr>
        <w:pStyle w:val="22"/>
        <w:tabs>
          <w:tab w:val="right" w:leader="dot" w:pos="9498"/>
        </w:tabs>
        <w:spacing w:before="0" w:after="0" w:line="360" w:lineRule="auto"/>
        <w:ind w:left="385" w:leftChars="175" w:right="220"/>
        <w:rPr>
          <w:rStyle w:val="40"/>
          <w:rFonts w:ascii="宋体" w:hAnsi="宋体" w:eastAsia="宋体"/>
          <w:sz w:val="24"/>
          <w:szCs w:val="24"/>
        </w:rPr>
      </w:pPr>
      <w:r>
        <w:fldChar w:fldCharType="begin"/>
      </w:r>
      <w:r>
        <w:instrText xml:space="preserve"> HYPERLINK \l "_Toc35500813" </w:instrText>
      </w:r>
      <w:r>
        <w:fldChar w:fldCharType="separate"/>
      </w:r>
      <w:r>
        <w:rPr>
          <w:rStyle w:val="40"/>
          <w:rFonts w:ascii="宋体" w:hAnsi="宋体" w:eastAsia="宋体"/>
          <w:sz w:val="24"/>
          <w:szCs w:val="24"/>
        </w:rPr>
        <w:t>二、政府部门财务分析</w:t>
      </w:r>
      <w:r>
        <w:rPr>
          <w:rStyle w:val="40"/>
          <w:rFonts w:ascii="宋体" w:hAnsi="宋体" w:eastAsia="宋体"/>
          <w:sz w:val="24"/>
          <w:szCs w:val="24"/>
        </w:rPr>
        <w:tab/>
      </w:r>
      <w:r>
        <w:rPr>
          <w:rStyle w:val="40"/>
          <w:rFonts w:ascii="宋体" w:hAnsi="宋体" w:eastAsia="宋体"/>
          <w:sz w:val="24"/>
          <w:szCs w:val="24"/>
        </w:rPr>
        <w:fldChar w:fldCharType="begin"/>
      </w:r>
      <w:r>
        <w:rPr>
          <w:rStyle w:val="40"/>
          <w:rFonts w:ascii="宋体" w:hAnsi="宋体" w:eastAsia="宋体"/>
          <w:sz w:val="24"/>
          <w:szCs w:val="24"/>
        </w:rPr>
        <w:instrText xml:space="preserve"> PAGEREF _Toc35500813 \h </w:instrText>
      </w:r>
      <w:r>
        <w:rPr>
          <w:rStyle w:val="40"/>
          <w:rFonts w:ascii="宋体" w:hAnsi="宋体" w:eastAsia="宋体"/>
          <w:sz w:val="24"/>
          <w:szCs w:val="24"/>
        </w:rPr>
        <w:fldChar w:fldCharType="separate"/>
      </w:r>
      <w:r>
        <w:rPr>
          <w:rStyle w:val="40"/>
          <w:rFonts w:ascii="宋体" w:hAnsi="宋体" w:eastAsia="宋体"/>
          <w:sz w:val="24"/>
          <w:szCs w:val="24"/>
        </w:rPr>
        <w:t>15</w:t>
      </w:r>
      <w:r>
        <w:rPr>
          <w:rStyle w:val="40"/>
          <w:rFonts w:ascii="宋体" w:hAnsi="宋体" w:eastAsia="宋体"/>
          <w:sz w:val="24"/>
          <w:szCs w:val="24"/>
        </w:rPr>
        <w:fldChar w:fldCharType="end"/>
      </w:r>
      <w:r>
        <w:rPr>
          <w:rStyle w:val="40"/>
          <w:rFonts w:ascii="宋体" w:hAnsi="宋体" w:eastAsia="宋体"/>
          <w:sz w:val="24"/>
          <w:szCs w:val="24"/>
        </w:rPr>
        <w:fldChar w:fldCharType="end"/>
      </w:r>
    </w:p>
    <w:p>
      <w:pPr>
        <w:pStyle w:val="17"/>
        <w:tabs>
          <w:tab w:val="right" w:leader="dot" w:pos="9498"/>
        </w:tabs>
        <w:spacing w:line="360" w:lineRule="auto"/>
        <w:ind w:left="825" w:leftChars="375" w:right="220"/>
        <w:rPr>
          <w:rFonts w:ascii="宋体" w:hAnsi="宋体" w:eastAsia="宋体" w:cstheme="minorBidi"/>
          <w:i w:val="0"/>
          <w:iCs w:val="0"/>
          <w:kern w:val="2"/>
          <w:sz w:val="24"/>
          <w:szCs w:val="24"/>
        </w:rPr>
      </w:pPr>
      <w:r>
        <w:fldChar w:fldCharType="begin"/>
      </w:r>
      <w:r>
        <w:instrText xml:space="preserve"> HYPERLINK \l "_Toc35500814" </w:instrText>
      </w:r>
      <w:r>
        <w:fldChar w:fldCharType="separate"/>
      </w:r>
      <w:r>
        <w:rPr>
          <w:rStyle w:val="40"/>
          <w:rFonts w:ascii="宋体" w:hAnsi="宋体" w:eastAsia="宋体"/>
          <w:i w:val="0"/>
          <w:sz w:val="24"/>
          <w:szCs w:val="24"/>
        </w:rPr>
        <w:t>（一）</w:t>
      </w:r>
      <w:r>
        <w:rPr>
          <w:rStyle w:val="40"/>
          <w:rFonts w:ascii="宋体" w:hAnsi="宋体" w:eastAsia="宋体" w:cs="黑体"/>
          <w:i w:val="0"/>
          <w:spacing w:val="-8"/>
          <w:sz w:val="24"/>
          <w:szCs w:val="24"/>
        </w:rPr>
        <w:t>政府部门工作目标完成情况</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_Toc35500814 \h </w:instrText>
      </w:r>
      <w:r>
        <w:rPr>
          <w:rFonts w:ascii="宋体" w:hAnsi="宋体" w:eastAsia="宋体"/>
          <w:i w:val="0"/>
          <w:sz w:val="24"/>
          <w:szCs w:val="24"/>
        </w:rPr>
        <w:fldChar w:fldCharType="separate"/>
      </w:r>
      <w:r>
        <w:rPr>
          <w:rFonts w:ascii="宋体" w:hAnsi="宋体" w:eastAsia="宋体"/>
          <w:i w:val="0"/>
          <w:sz w:val="24"/>
          <w:szCs w:val="24"/>
        </w:rPr>
        <w:t>15</w:t>
      </w:r>
      <w:r>
        <w:rPr>
          <w:rFonts w:ascii="宋体" w:hAnsi="宋体" w:eastAsia="宋体"/>
          <w:i w:val="0"/>
          <w:sz w:val="24"/>
          <w:szCs w:val="24"/>
        </w:rPr>
        <w:fldChar w:fldCharType="end"/>
      </w:r>
      <w:r>
        <w:rPr>
          <w:rFonts w:ascii="宋体" w:hAnsi="宋体" w:eastAsia="宋体"/>
          <w:i w:val="0"/>
          <w:sz w:val="24"/>
          <w:szCs w:val="24"/>
        </w:rPr>
        <w:fldChar w:fldCharType="end"/>
      </w:r>
    </w:p>
    <w:p>
      <w:pPr>
        <w:pStyle w:val="17"/>
        <w:tabs>
          <w:tab w:val="right" w:leader="dot" w:pos="9498"/>
        </w:tabs>
        <w:spacing w:line="360" w:lineRule="auto"/>
        <w:ind w:left="825" w:leftChars="375" w:right="220"/>
        <w:rPr>
          <w:rFonts w:ascii="宋体" w:hAnsi="宋体" w:eastAsia="宋体" w:cstheme="minorBidi"/>
          <w:i w:val="0"/>
          <w:iCs w:val="0"/>
          <w:kern w:val="2"/>
          <w:sz w:val="24"/>
          <w:szCs w:val="24"/>
        </w:rPr>
      </w:pPr>
      <w:r>
        <w:fldChar w:fldCharType="begin"/>
      </w:r>
      <w:r>
        <w:instrText xml:space="preserve"> HYPERLINK \l "_Toc35500815" </w:instrText>
      </w:r>
      <w:r>
        <w:fldChar w:fldCharType="separate"/>
      </w:r>
      <w:r>
        <w:rPr>
          <w:rStyle w:val="40"/>
          <w:rFonts w:ascii="宋体" w:hAnsi="宋体" w:eastAsia="宋体"/>
          <w:i w:val="0"/>
          <w:sz w:val="24"/>
          <w:szCs w:val="24"/>
        </w:rPr>
        <w:t>（二）政府部门财务状况分析</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_Toc35500815 \h </w:instrText>
      </w:r>
      <w:r>
        <w:rPr>
          <w:rFonts w:ascii="宋体" w:hAnsi="宋体" w:eastAsia="宋体"/>
          <w:i w:val="0"/>
          <w:sz w:val="24"/>
          <w:szCs w:val="24"/>
        </w:rPr>
        <w:fldChar w:fldCharType="separate"/>
      </w:r>
      <w:r>
        <w:rPr>
          <w:rFonts w:ascii="宋体" w:hAnsi="宋体" w:eastAsia="宋体"/>
          <w:i w:val="0"/>
          <w:sz w:val="24"/>
          <w:szCs w:val="24"/>
        </w:rPr>
        <w:t>15</w:t>
      </w:r>
      <w:r>
        <w:rPr>
          <w:rFonts w:ascii="宋体" w:hAnsi="宋体" w:eastAsia="宋体"/>
          <w:i w:val="0"/>
          <w:sz w:val="24"/>
          <w:szCs w:val="24"/>
        </w:rPr>
        <w:fldChar w:fldCharType="end"/>
      </w:r>
      <w:r>
        <w:rPr>
          <w:rFonts w:ascii="宋体" w:hAnsi="宋体" w:eastAsia="宋体"/>
          <w:i w:val="0"/>
          <w:sz w:val="24"/>
          <w:szCs w:val="24"/>
        </w:rPr>
        <w:fldChar w:fldCharType="end"/>
      </w:r>
    </w:p>
    <w:p>
      <w:pPr>
        <w:pStyle w:val="17"/>
        <w:tabs>
          <w:tab w:val="right" w:leader="dot" w:pos="9498"/>
        </w:tabs>
        <w:spacing w:line="360" w:lineRule="auto"/>
        <w:ind w:left="825" w:leftChars="375" w:right="220"/>
        <w:rPr>
          <w:rFonts w:ascii="宋体" w:hAnsi="宋体" w:eastAsia="宋体" w:cstheme="minorBidi"/>
          <w:i w:val="0"/>
          <w:iCs w:val="0"/>
          <w:kern w:val="2"/>
          <w:sz w:val="24"/>
          <w:szCs w:val="24"/>
        </w:rPr>
      </w:pPr>
      <w:r>
        <w:fldChar w:fldCharType="begin"/>
      </w:r>
      <w:r>
        <w:instrText xml:space="preserve"> HYPERLINK \l "_Toc35500816" </w:instrText>
      </w:r>
      <w:r>
        <w:fldChar w:fldCharType="separate"/>
      </w:r>
      <w:r>
        <w:rPr>
          <w:rStyle w:val="40"/>
          <w:rFonts w:ascii="宋体" w:hAnsi="宋体" w:eastAsia="宋体"/>
          <w:i w:val="0"/>
          <w:sz w:val="24"/>
          <w:szCs w:val="24"/>
        </w:rPr>
        <w:t>（三）政府部门运行情况分析</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_Toc35500816 \h </w:instrText>
      </w:r>
      <w:r>
        <w:rPr>
          <w:rFonts w:ascii="宋体" w:hAnsi="宋体" w:eastAsia="宋体"/>
          <w:i w:val="0"/>
          <w:sz w:val="24"/>
          <w:szCs w:val="24"/>
        </w:rPr>
        <w:fldChar w:fldCharType="separate"/>
      </w:r>
      <w:r>
        <w:rPr>
          <w:rFonts w:ascii="宋体" w:hAnsi="宋体" w:eastAsia="宋体"/>
          <w:i w:val="0"/>
          <w:sz w:val="24"/>
          <w:szCs w:val="24"/>
        </w:rPr>
        <w:t>18</w:t>
      </w:r>
      <w:r>
        <w:rPr>
          <w:rFonts w:ascii="宋体" w:hAnsi="宋体" w:eastAsia="宋体"/>
          <w:i w:val="0"/>
          <w:sz w:val="24"/>
          <w:szCs w:val="24"/>
        </w:rPr>
        <w:fldChar w:fldCharType="end"/>
      </w:r>
      <w:r>
        <w:rPr>
          <w:rFonts w:ascii="宋体" w:hAnsi="宋体" w:eastAsia="宋体"/>
          <w:i w:val="0"/>
          <w:sz w:val="24"/>
          <w:szCs w:val="24"/>
        </w:rPr>
        <w:fldChar w:fldCharType="end"/>
      </w:r>
    </w:p>
    <w:p>
      <w:pPr>
        <w:pStyle w:val="17"/>
        <w:tabs>
          <w:tab w:val="right" w:leader="dot" w:pos="9498"/>
        </w:tabs>
        <w:spacing w:line="360" w:lineRule="auto"/>
        <w:ind w:left="825" w:leftChars="375" w:right="220"/>
        <w:rPr>
          <w:rFonts w:ascii="宋体" w:hAnsi="宋体" w:eastAsia="宋体" w:cstheme="minorBidi"/>
          <w:i w:val="0"/>
          <w:iCs w:val="0"/>
          <w:kern w:val="2"/>
          <w:sz w:val="24"/>
          <w:szCs w:val="24"/>
        </w:rPr>
      </w:pPr>
      <w:r>
        <w:fldChar w:fldCharType="begin"/>
      </w:r>
      <w:r>
        <w:instrText xml:space="preserve"> HYPERLINK \l "_Toc35500817" </w:instrText>
      </w:r>
      <w:r>
        <w:fldChar w:fldCharType="separate"/>
      </w:r>
      <w:r>
        <w:rPr>
          <w:rStyle w:val="40"/>
          <w:rFonts w:ascii="宋体" w:hAnsi="宋体" w:eastAsia="宋体"/>
          <w:i w:val="0"/>
          <w:sz w:val="24"/>
          <w:szCs w:val="24"/>
        </w:rPr>
        <w:t>（四）政府部门财务管理情况</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_Toc35500817 \h </w:instrText>
      </w:r>
      <w:r>
        <w:rPr>
          <w:rFonts w:ascii="宋体" w:hAnsi="宋体" w:eastAsia="宋体"/>
          <w:i w:val="0"/>
          <w:sz w:val="24"/>
          <w:szCs w:val="24"/>
        </w:rPr>
        <w:fldChar w:fldCharType="separate"/>
      </w:r>
      <w:r>
        <w:rPr>
          <w:rFonts w:ascii="宋体" w:hAnsi="宋体" w:eastAsia="宋体"/>
          <w:i w:val="0"/>
          <w:sz w:val="24"/>
          <w:szCs w:val="24"/>
        </w:rPr>
        <w:t>21</w:t>
      </w:r>
      <w:r>
        <w:rPr>
          <w:rFonts w:ascii="宋体" w:hAnsi="宋体" w:eastAsia="宋体"/>
          <w:i w:val="0"/>
          <w:sz w:val="24"/>
          <w:szCs w:val="24"/>
        </w:rPr>
        <w:fldChar w:fldCharType="end"/>
      </w:r>
      <w:r>
        <w:rPr>
          <w:rFonts w:ascii="宋体" w:hAnsi="宋体" w:eastAsia="宋体"/>
          <w:i w:val="0"/>
          <w:sz w:val="24"/>
          <w:szCs w:val="24"/>
        </w:rPr>
        <w:fldChar w:fldCharType="end"/>
      </w:r>
    </w:p>
    <w:p>
      <w:pPr>
        <w:pStyle w:val="21"/>
        <w:tabs>
          <w:tab w:val="right" w:leader="dot" w:pos="9498"/>
          <w:tab w:val="clear" w:pos="8306"/>
        </w:tabs>
        <w:spacing w:line="360" w:lineRule="auto"/>
        <w:sectPr>
          <w:headerReference r:id="rId3" w:type="default"/>
          <w:footerReference r:id="rId4" w:type="default"/>
          <w:footnotePr>
            <w:numFmt w:val="decimalEnclosedCircleChinese"/>
          </w:footnotePr>
          <w:pgSz w:w="11906" w:h="16838"/>
          <w:pgMar w:top="1440" w:right="1083" w:bottom="1440" w:left="1083" w:header="0" w:footer="720" w:gutter="0"/>
          <w:cols w:space="425" w:num="1"/>
          <w:docGrid w:type="lines" w:linePitch="326" w:charSpace="0"/>
        </w:sectPr>
      </w:pPr>
      <w:r>
        <w:rPr>
          <w:rFonts w:eastAsia="宋体"/>
          <w:sz w:val="24"/>
          <w:szCs w:val="24"/>
        </w:rPr>
        <w:fldChar w:fldCharType="end"/>
      </w:r>
    </w:p>
    <w:p>
      <w:pPr>
        <w:widowControl w:val="0"/>
        <w:spacing w:line="360" w:lineRule="auto"/>
        <w:outlineLvl w:val="1"/>
        <w:rPr>
          <w:rFonts w:ascii="黑体" w:hAnsi="黑体" w:eastAsia="黑体" w:cs="黑体"/>
          <w:color w:val="000000"/>
          <w:sz w:val="32"/>
          <w:szCs w:val="32"/>
        </w:rPr>
      </w:pPr>
      <w:bookmarkStart w:id="12" w:name="_Toc503548884"/>
      <w:bookmarkStart w:id="13" w:name="_Toc436083527"/>
      <w:bookmarkStart w:id="14" w:name="_Toc35500801"/>
      <w:bookmarkStart w:id="15" w:name="_Toc35452575"/>
      <w:bookmarkStart w:id="16" w:name="_Toc435360895"/>
      <w:bookmarkStart w:id="17" w:name="_Toc435362062"/>
      <w:bookmarkStart w:id="18" w:name="_Toc435362289"/>
      <w:bookmarkStart w:id="19" w:name="_Toc435361944"/>
      <w:bookmarkStart w:id="20" w:name="_Toc435363360"/>
      <w:bookmarkStart w:id="21" w:name="_Toc435362487"/>
      <w:r>
        <w:rPr>
          <w:rFonts w:hint="eastAsia" w:ascii="黑体" w:hAnsi="黑体" w:eastAsia="黑体" w:cs="黑体"/>
          <w:color w:val="000000"/>
          <w:sz w:val="32"/>
          <w:szCs w:val="32"/>
        </w:rPr>
        <w:t>一、政府部门财务报表</w:t>
      </w:r>
      <w:bookmarkEnd w:id="12"/>
      <w:bookmarkEnd w:id="13"/>
      <w:bookmarkEnd w:id="14"/>
      <w:bookmarkEnd w:id="15"/>
      <w:bookmarkEnd w:id="16"/>
      <w:bookmarkEnd w:id="17"/>
      <w:bookmarkEnd w:id="18"/>
      <w:bookmarkEnd w:id="19"/>
      <w:bookmarkEnd w:id="20"/>
      <w:bookmarkEnd w:id="21"/>
    </w:p>
    <w:p>
      <w:pPr>
        <w:pStyle w:val="3"/>
        <w:spacing w:before="0" w:after="0" w:line="360" w:lineRule="auto"/>
        <w:ind w:left="220" w:leftChars="100"/>
        <w:jc w:val="left"/>
        <w:rPr>
          <w:rFonts w:ascii="楷体_GB2312" w:hAnsi="楷体_GB2312" w:eastAsia="楷体_GB2312" w:cs="楷体_GB2312"/>
          <w:b w:val="0"/>
          <w:color w:val="000000"/>
          <w:sz w:val="30"/>
          <w:szCs w:val="30"/>
        </w:rPr>
      </w:pPr>
      <w:bookmarkStart w:id="22" w:name="_Toc35500802"/>
      <w:bookmarkStart w:id="23" w:name="_Toc35452576"/>
      <w:bookmarkStart w:id="24" w:name="_Toc436083528"/>
      <w:bookmarkStart w:id="25" w:name="_Toc435362290"/>
      <w:bookmarkStart w:id="26" w:name="_Toc435361945"/>
      <w:bookmarkStart w:id="27" w:name="_Toc435362488"/>
      <w:bookmarkStart w:id="28" w:name="_Toc435362063"/>
      <w:bookmarkStart w:id="29" w:name="_Toc503548885"/>
      <w:r>
        <w:rPr>
          <w:rFonts w:hint="eastAsia" w:ascii="楷体_GB2312" w:hAnsi="楷体_GB2312" w:eastAsia="楷体_GB2312" w:cs="楷体_GB2312"/>
          <w:b w:val="0"/>
          <w:color w:val="000000"/>
          <w:sz w:val="30"/>
          <w:szCs w:val="30"/>
        </w:rPr>
        <w:t>（一）政府部门会计报表</w:t>
      </w:r>
      <w:bookmarkEnd w:id="22"/>
      <w:bookmarkEnd w:id="23"/>
      <w:bookmarkEnd w:id="24"/>
      <w:bookmarkEnd w:id="25"/>
      <w:bookmarkEnd w:id="26"/>
      <w:bookmarkEnd w:id="27"/>
      <w:bookmarkEnd w:id="28"/>
      <w:bookmarkEnd w:id="29"/>
    </w:p>
    <w:p>
      <w:pPr>
        <w:widowControl w:val="0"/>
        <w:ind w:left="440" w:leftChars="200"/>
        <w:jc w:val="both"/>
        <w:rPr>
          <w:rFonts w:eastAsia="宋体" w:cs="仿宋_GB2312"/>
          <w:color w:val="000000"/>
          <w:sz w:val="24"/>
        </w:rPr>
      </w:pPr>
      <w:bookmarkStart w:id="30" w:name="_Toc435361946"/>
      <w:bookmarkStart w:id="31" w:name="_Toc435362064"/>
      <w:bookmarkStart w:id="32" w:name="_Toc435362291"/>
      <w:bookmarkStart w:id="33" w:name="_Toc435362489"/>
      <w:r>
        <w:rPr>
          <w:rFonts w:hint="eastAsia" w:eastAsia="宋体" w:cs="仿宋_GB2312"/>
          <w:color w:val="000000"/>
          <w:sz w:val="24"/>
        </w:rPr>
        <w:t>表</w:t>
      </w:r>
      <w:r>
        <w:rPr>
          <w:rFonts w:eastAsia="宋体" w:cs="仿宋_GB2312"/>
          <w:color w:val="000000"/>
          <w:sz w:val="24"/>
        </w:rPr>
        <w:t>1</w:t>
      </w:r>
    </w:p>
    <w:p>
      <w:pPr>
        <w:widowControl w:val="0"/>
        <w:spacing w:after="229" w:line="281" w:lineRule="exact"/>
        <w:ind w:left="240" w:right="240"/>
        <w:jc w:val="center"/>
        <w:outlineLvl w:val="2"/>
        <w:rPr>
          <w:rFonts w:eastAsia="宋体"/>
          <w:b/>
          <w:bCs/>
          <w:color w:val="000000"/>
          <w:spacing w:val="-1"/>
          <w:sz w:val="24"/>
        </w:rPr>
      </w:pPr>
      <w:bookmarkStart w:id="34" w:name="_Toc35452577"/>
      <w:bookmarkStart w:id="35" w:name="_Toc35500803"/>
      <w:r>
        <w:rPr>
          <w:rFonts w:hint="eastAsia" w:eastAsia="宋体"/>
          <w:b/>
          <w:bCs/>
          <w:color w:val="000000"/>
          <w:spacing w:val="-1"/>
          <w:sz w:val="24"/>
        </w:rPr>
        <w:t>资产负债表</w:t>
      </w:r>
      <w:bookmarkEnd w:id="30"/>
      <w:bookmarkEnd w:id="31"/>
      <w:bookmarkEnd w:id="32"/>
      <w:bookmarkEnd w:id="33"/>
      <w:bookmarkEnd w:id="34"/>
      <w:bookmarkEnd w:id="35"/>
    </w:p>
    <w:p>
      <w:pPr>
        <w:tabs>
          <w:tab w:val="left" w:pos="4160"/>
          <w:tab w:val="left" w:pos="8580"/>
        </w:tabs>
        <w:adjustRightInd w:val="0"/>
        <w:snapToGrid w:val="0"/>
        <w:spacing w:line="320" w:lineRule="exact"/>
        <w:ind w:right="-41"/>
        <w:rPr>
          <w:rFonts w:eastAsia="宋体"/>
          <w:b/>
          <w:bCs/>
          <w:szCs w:val="22"/>
        </w:rPr>
      </w:pPr>
      <w:r>
        <w:rPr>
          <w:rFonts w:hint="eastAsia" w:eastAsia="宋体"/>
          <w:szCs w:val="22"/>
        </w:rPr>
        <w:t>编制单位：内蒙古自治区通辽市奈曼旗委员会机构编制委员会办公室</w:t>
      </w:r>
      <w:r>
        <w:rPr>
          <w:rFonts w:eastAsia="宋体"/>
          <w:szCs w:val="22"/>
        </w:rPr>
        <w:t>2021</w:t>
      </w:r>
      <w:r>
        <w:rPr>
          <w:rFonts w:hint="eastAsia" w:eastAsia="宋体"/>
          <w:szCs w:val="22"/>
        </w:rPr>
        <w:t>年12月31日</w:t>
      </w:r>
      <w:r>
        <w:rPr>
          <w:rFonts w:eastAsia="宋体"/>
          <w:b/>
          <w:bCs/>
          <w:szCs w:val="22"/>
        </w:rPr>
        <w:tab/>
      </w:r>
      <w:r>
        <w:rPr>
          <w:rFonts w:hint="eastAsia" w:eastAsia="宋体"/>
          <w:szCs w:val="22"/>
        </w:rPr>
        <w:t>单位：万元</w:t>
      </w:r>
    </w:p>
    <w:tbl>
      <w:tblPr>
        <w:tblStyle w:val="33"/>
        <w:tblW w:w="9688" w:type="dxa"/>
        <w:jc w:val="center"/>
        <w:shd w:val="clear" w:color="000000" w:fill="auto"/>
        <w:tblLayout w:type="fixed"/>
        <w:tblCellMar>
          <w:top w:w="0" w:type="dxa"/>
          <w:left w:w="108" w:type="dxa"/>
          <w:bottom w:w="0" w:type="dxa"/>
          <w:right w:w="108" w:type="dxa"/>
        </w:tblCellMar>
      </w:tblPr>
      <w:tblGrid>
        <w:gridCol w:w="4888"/>
        <w:gridCol w:w="1680"/>
        <w:gridCol w:w="1560"/>
        <w:gridCol w:w="1560"/>
      </w:tblGrid>
      <w:tr>
        <w:tblPrEx>
          <w:shd w:val="clear" w:color="000000" w:fill="auto"/>
          <w:tblCellMar>
            <w:top w:w="0" w:type="dxa"/>
            <w:left w:w="108" w:type="dxa"/>
            <w:bottom w:w="0" w:type="dxa"/>
            <w:right w:w="108" w:type="dxa"/>
          </w:tblCellMar>
        </w:tblPrEx>
        <w:trPr>
          <w:trHeight w:val="397" w:hRule="exact"/>
          <w:tblHeader/>
          <w:jc w:val="center"/>
        </w:trPr>
        <w:tc>
          <w:tcPr>
            <w:tcW w:w="4888" w:type="dxa"/>
            <w:tcBorders>
              <w:top w:val="single" w:color="auto" w:sz="12" w:space="0"/>
              <w:bottom w:val="single" w:color="auto" w:sz="4" w:space="0"/>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项目</w:t>
            </w:r>
          </w:p>
        </w:tc>
        <w:tc>
          <w:tcPr>
            <w:tcW w:w="1680" w:type="dxa"/>
            <w:tcBorders>
              <w:top w:val="single" w:color="auto" w:sz="12" w:space="0"/>
              <w:bottom w:val="single" w:color="auto" w:sz="4" w:space="0"/>
            </w:tcBorders>
            <w:shd w:val="clear" w:color="FFFFFF" w:fill="FFFFFF"/>
            <w:vAlign w:val="center"/>
          </w:tcPr>
          <w:p>
            <w:pPr>
              <w:adjustRightInd w:val="0"/>
              <w:snapToGrid w:val="0"/>
              <w:spacing w:line="320" w:lineRule="exact"/>
              <w:ind w:left="-26" w:leftChars="-12" w:right="-202" w:rightChars="-92"/>
              <w:jc w:val="center"/>
              <w:rPr>
                <w:rFonts w:eastAsia="宋体"/>
                <w:b/>
                <w:bCs/>
                <w:szCs w:val="22"/>
              </w:rPr>
            </w:pPr>
            <w:r>
              <w:rPr>
                <w:rFonts w:hint="eastAsia" w:eastAsia="宋体"/>
                <w:b/>
                <w:bCs/>
                <w:szCs w:val="22"/>
              </w:rPr>
              <w:t>附注</w:t>
            </w:r>
          </w:p>
        </w:tc>
        <w:tc>
          <w:tcPr>
            <w:tcW w:w="1560" w:type="dxa"/>
            <w:tcBorders>
              <w:top w:val="single" w:color="auto" w:sz="12" w:space="0"/>
              <w:bottom w:val="single" w:color="auto" w:sz="4" w:space="0"/>
            </w:tcBorders>
            <w:shd w:val="clear" w:color="FFFFFF" w:fill="FFFFFF"/>
            <w:vAlign w:val="center"/>
          </w:tcPr>
          <w:p>
            <w:pPr>
              <w:adjustRightInd w:val="0"/>
              <w:snapToGrid w:val="0"/>
              <w:spacing w:line="320" w:lineRule="exact"/>
              <w:ind w:left="-13" w:leftChars="-6" w:right="-64" w:rightChars="-29"/>
              <w:jc w:val="center"/>
              <w:rPr>
                <w:rFonts w:eastAsia="宋体"/>
                <w:b/>
                <w:bCs/>
                <w:szCs w:val="22"/>
              </w:rPr>
            </w:pPr>
            <w:r>
              <w:rPr>
                <w:rFonts w:hint="eastAsia" w:eastAsia="宋体"/>
                <w:b/>
                <w:bCs/>
                <w:szCs w:val="22"/>
              </w:rPr>
              <w:t>年末数</w:t>
            </w:r>
          </w:p>
        </w:tc>
        <w:tc>
          <w:tcPr>
            <w:tcW w:w="1560" w:type="dxa"/>
            <w:tcBorders>
              <w:top w:val="single" w:color="auto" w:sz="12" w:space="0"/>
              <w:bottom w:val="single" w:color="auto" w:sz="4" w:space="0"/>
            </w:tcBorders>
            <w:shd w:val="clear" w:color="FFFFFF" w:fill="FFFFFF"/>
            <w:vAlign w:val="center"/>
          </w:tcPr>
          <w:p>
            <w:pPr>
              <w:adjustRightInd w:val="0"/>
              <w:snapToGrid w:val="0"/>
              <w:spacing w:line="320" w:lineRule="exact"/>
              <w:ind w:left="240" w:right="240"/>
              <w:jc w:val="center"/>
              <w:rPr>
                <w:rFonts w:eastAsia="宋体"/>
                <w:b/>
                <w:bCs/>
                <w:szCs w:val="22"/>
              </w:rPr>
            </w:pPr>
            <w:r>
              <w:rPr>
                <w:rFonts w:hint="eastAsia" w:eastAsia="宋体"/>
                <w:b/>
                <w:bCs/>
                <w:szCs w:val="22"/>
              </w:rPr>
              <w:t>年初数</w:t>
            </w:r>
          </w:p>
        </w:tc>
      </w:tr>
      <w:tr>
        <w:tblPrEx>
          <w:shd w:val="clear" w:color="000000" w:fill="auto"/>
          <w:tblCellMar>
            <w:top w:w="0" w:type="dxa"/>
            <w:left w:w="108" w:type="dxa"/>
            <w:bottom w:w="0" w:type="dxa"/>
            <w:right w:w="108" w:type="dxa"/>
          </w:tblCellMar>
        </w:tblPrEx>
        <w:trPr>
          <w:trHeight w:val="20" w:hRule="exact"/>
          <w:tblHeader/>
          <w:jc w:val="center"/>
        </w:trPr>
        <w:tc>
          <w:tcPr>
            <w:tcW w:w="4888" w:type="dxa"/>
            <w:tcBorders>
              <w:top w:val="single" w:color="auto" w:sz="4" w:space="0"/>
            </w:tcBorders>
            <w:shd w:val="clear" w:color="FFFFFF" w:fill="FFFFFF"/>
            <w:vAlign w:val="center"/>
          </w:tcPr>
          <w:p>
            <w:pPr>
              <w:adjustRightInd w:val="0"/>
              <w:snapToGrid w:val="0"/>
              <w:spacing w:line="320" w:lineRule="exact"/>
              <w:ind w:left="240" w:right="240"/>
              <w:jc w:val="center"/>
              <w:rPr>
                <w:rFonts w:eastAsia="宋体"/>
                <w:b/>
                <w:bCs/>
                <w:szCs w:val="22"/>
              </w:rPr>
            </w:pPr>
          </w:p>
        </w:tc>
        <w:tc>
          <w:tcPr>
            <w:tcW w:w="1680" w:type="dxa"/>
            <w:tcBorders>
              <w:top w:val="single" w:color="auto" w:sz="4" w:space="0"/>
            </w:tcBorders>
            <w:shd w:val="clear" w:color="FFFFFF" w:fill="FFFFFF"/>
            <w:vAlign w:val="center"/>
          </w:tcPr>
          <w:p>
            <w:pPr>
              <w:adjustRightInd w:val="0"/>
              <w:snapToGrid w:val="0"/>
              <w:spacing w:line="320" w:lineRule="exact"/>
              <w:ind w:left="240" w:right="240"/>
              <w:jc w:val="center"/>
              <w:rPr>
                <w:rFonts w:eastAsia="宋体"/>
                <w:b/>
                <w:bCs/>
                <w:szCs w:val="22"/>
              </w:rPr>
            </w:pPr>
          </w:p>
        </w:tc>
        <w:tc>
          <w:tcPr>
            <w:tcW w:w="1560" w:type="dxa"/>
            <w:tcBorders>
              <w:top w:val="single" w:color="auto" w:sz="4" w:space="0"/>
            </w:tcBorders>
            <w:shd w:val="clear" w:color="FFFFFF" w:fill="FFFFFF"/>
            <w:vAlign w:val="center"/>
          </w:tcPr>
          <w:p>
            <w:pPr>
              <w:adjustRightInd w:val="0"/>
              <w:snapToGrid w:val="0"/>
              <w:spacing w:line="320" w:lineRule="exact"/>
              <w:ind w:left="240" w:right="240"/>
              <w:jc w:val="center"/>
              <w:rPr>
                <w:rFonts w:eastAsia="宋体"/>
                <w:b/>
                <w:bCs/>
                <w:szCs w:val="22"/>
              </w:rPr>
            </w:pPr>
          </w:p>
        </w:tc>
        <w:tc>
          <w:tcPr>
            <w:tcW w:w="1560" w:type="dxa"/>
            <w:tcBorders>
              <w:top w:val="single" w:color="auto" w:sz="4" w:space="0"/>
            </w:tcBorders>
            <w:shd w:val="clear" w:color="FFFFFF" w:fill="FFFFFF"/>
            <w:vAlign w:val="center"/>
          </w:tcPr>
          <w:p>
            <w:pPr>
              <w:adjustRightInd w:val="0"/>
              <w:snapToGrid w:val="0"/>
              <w:spacing w:line="320" w:lineRule="exact"/>
              <w:ind w:left="240" w:right="240"/>
              <w:jc w:val="center"/>
              <w:rPr>
                <w:rFonts w:eastAsia="宋体"/>
                <w:b/>
                <w:bCs/>
                <w:szCs w:val="22"/>
              </w:rPr>
            </w:pP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货币资金</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附表1</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0.31</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3.16</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短期投资</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财政应返还额度</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应收票据</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附表2</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应收账款净额</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附表3</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预付账款</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附表4</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应收股利</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应收利息</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其他应收款净额</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附表5</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存货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待摊费用</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一年内到期的非流动资产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其他流动资产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u w:val="none"/>
              </w:rPr>
              <w:t>流动资产合计</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0.31</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3.16</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长期股权投资</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附表6</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长期债券投资</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附表6</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固定资产原值</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40.16</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17.20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减：固定资产累计折旧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33.71</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10.12</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固定资产净值</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附表7</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6.45</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7.08</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工程物资</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在建工程</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附表8</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无形资产原值</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减：无形资产累计摊销</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无形资产净值</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附表9</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研发支出</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公共基础设施原值</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减：公共基础设施累计折旧（摊销）</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公共基础设施净值</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附表10</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政府储备物资</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附表11</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文物文化资产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保障性住房原值</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减：保障性住房累计折旧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保障性住房净值</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附表12</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PPP项目资产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减：PPP项目资产累计折旧（摊销）</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PPP项目资产净值</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附表13</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长期待摊费用</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待处理财产损溢</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其他非流动资产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u w:val="none"/>
              </w:rPr>
              <w:t>非流动资产合计</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6.45</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7.08</w:t>
            </w:r>
          </w:p>
        </w:tc>
      </w:tr>
      <w:tr>
        <w:tblPrEx>
          <w:shd w:val="clear" w:color="000000" w:fill="auto"/>
          <w:tblCellMar>
            <w:top w:w="0" w:type="dxa"/>
            <w:left w:w="108" w:type="dxa"/>
            <w:bottom w:w="0" w:type="dxa"/>
            <w:right w:w="108" w:type="dxa"/>
          </w:tblCellMar>
        </w:tblPrEx>
        <w:trPr>
          <w:trHeight w:val="455" w:hRule="atLeast"/>
          <w:jc w:val="center"/>
        </w:trPr>
        <w:tc>
          <w:tcPr>
            <w:tcW w:w="4888" w:type="dxa"/>
            <w:tcBorders>
              <w:bottom w:val="single" w:color="auto" w:sz="4" w:space="0"/>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i w:val="0"/>
                <w:color w:val="auto"/>
                <w:position w:val="-1"/>
                <w:u w:val="none"/>
              </w:rPr>
              <w:t>受托代理资产</w:t>
            </w:r>
          </w:p>
        </w:tc>
        <w:tc>
          <w:tcPr>
            <w:tcW w:w="1680" w:type="dxa"/>
            <w:tcBorders>
              <w:bottom w:val="single" w:color="auto" w:sz="4" w:space="0"/>
            </w:tcBorders>
            <w:shd w:val="clear" w:color="FFFFFF" w:fill="FFFFFF"/>
            <w:vAlign w:val="center"/>
          </w:tcPr>
          <w:p>
            <w:pPr>
              <w:pageBreakBefore w:val="0"/>
              <w:spacing w:line="320" w:lineRule="exact"/>
              <w:ind w:right="13"/>
              <w:jc w:val="center"/>
              <w:textAlignment w:val="auto"/>
            </w:pPr>
          </w:p>
        </w:tc>
        <w:tc>
          <w:tcPr>
            <w:tcW w:w="1560" w:type="dxa"/>
            <w:tcBorders>
              <w:bottom w:val="single" w:color="auto" w:sz="4" w:space="0"/>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tcBorders>
              <w:bottom w:val="single" w:color="auto" w:sz="4" w:space="0"/>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455" w:hRule="atLeast"/>
          <w:jc w:val="center"/>
        </w:trPr>
        <w:tc>
          <w:tcPr>
            <w:tcW w:w="4888" w:type="dxa"/>
            <w:tcBorders>
              <w:bottom w:val="single" w:color="auto" w:sz="4" w:space="0"/>
            </w:tcBorders>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u w:val="none"/>
              </w:rPr>
              <w:t>资产总计</w:t>
            </w:r>
          </w:p>
        </w:tc>
        <w:tc>
          <w:tcPr>
            <w:tcW w:w="1680" w:type="dxa"/>
            <w:tcBorders>
              <w:bottom w:val="single" w:color="auto" w:sz="4" w:space="0"/>
            </w:tcBorders>
            <w:shd w:val="clear" w:color="FFFFFF" w:fill="FFFFFF"/>
            <w:vAlign w:val="center"/>
          </w:tcPr>
          <w:p>
            <w:pPr>
              <w:pageBreakBefore w:val="0"/>
              <w:spacing w:line="320" w:lineRule="exact"/>
              <w:ind w:right="13"/>
              <w:jc w:val="center"/>
              <w:textAlignment w:val="auto"/>
            </w:pPr>
          </w:p>
        </w:tc>
        <w:tc>
          <w:tcPr>
            <w:tcW w:w="1560" w:type="dxa"/>
            <w:tcBorders>
              <w:bottom w:val="single" w:color="auto" w:sz="4" w:space="0"/>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6.76</w:t>
            </w:r>
          </w:p>
        </w:tc>
        <w:tc>
          <w:tcPr>
            <w:tcW w:w="1560" w:type="dxa"/>
            <w:tcBorders>
              <w:bottom w:val="single" w:color="auto" w:sz="4" w:space="0"/>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10.24</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短期借款</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应交增值税</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其他应交税费</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0.16</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0.16</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应缴财政款</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应付职工薪酬</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应付票据</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附表14</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应付账款</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附表15</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应付政府补贴款</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应付利息</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预收账款</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附表16</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其他应付款</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附表17</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预提费用</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一年内到期的非流动负债</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其他流动负债</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u w:val="none"/>
              </w:rPr>
              <w:t>流动负债合计</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0.16</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0.16</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长期借款</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附表18</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长期应付款</w:t>
            </w:r>
          </w:p>
        </w:tc>
        <w:tc>
          <w:tcPr>
            <w:tcW w:w="1680" w:type="dxa"/>
            <w:shd w:val="clear" w:color="FFFFFF" w:fill="FFFFFF"/>
            <w:vAlign w:val="center"/>
          </w:tcPr>
          <w:p>
            <w:pPr>
              <w:pageBreakBefore w:val="0"/>
              <w:spacing w:line="320" w:lineRule="exact"/>
              <w:ind w:right="13"/>
              <w:jc w:val="center"/>
              <w:textAlignment w:val="auto"/>
            </w:pPr>
            <w:r>
              <w:rPr>
                <w:rFonts w:ascii="Times New Roman" w:hAnsi="Times New Roman" w:eastAsia="Times New Roman" w:cs="Times New Roman"/>
                <w:b w:val="0"/>
                <w:i w:val="0"/>
                <w:color w:val="000000"/>
                <w:position w:val="-1"/>
                <w:u w:val="none"/>
              </w:rPr>
              <w:t xml:space="preserve">  附表19</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预计负债</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其他非流动负债</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u w:val="none"/>
              </w:rPr>
              <w:t>非流动负债合计</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455" w:hRule="atLeast"/>
          <w:jc w:val="center"/>
        </w:trPr>
        <w:tc>
          <w:tcPr>
            <w:tcW w:w="4888" w:type="dxa"/>
            <w:tcBorders>
              <w:bottom w:val="single" w:color="auto" w:sz="4" w:space="0"/>
            </w:tcBorders>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i w:val="0"/>
                <w:color w:val="auto"/>
                <w:position w:val="-1"/>
                <w:u w:val="none"/>
              </w:rPr>
              <w:t>受托代理负债</w:t>
            </w:r>
          </w:p>
        </w:tc>
        <w:tc>
          <w:tcPr>
            <w:tcW w:w="1680" w:type="dxa"/>
            <w:tcBorders>
              <w:bottom w:val="single" w:color="auto" w:sz="4" w:space="0"/>
            </w:tcBorders>
            <w:shd w:val="clear" w:color="FFFFFF" w:fill="FFFFFF"/>
            <w:vAlign w:val="center"/>
          </w:tcPr>
          <w:p>
            <w:pPr>
              <w:pageBreakBefore w:val="0"/>
              <w:spacing w:line="320" w:lineRule="exact"/>
              <w:ind w:right="13"/>
              <w:jc w:val="center"/>
              <w:textAlignment w:val="auto"/>
            </w:pPr>
          </w:p>
        </w:tc>
        <w:tc>
          <w:tcPr>
            <w:tcW w:w="1560" w:type="dxa"/>
            <w:tcBorders>
              <w:bottom w:val="single" w:color="auto" w:sz="4" w:space="0"/>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tcBorders>
              <w:bottom w:val="single" w:color="auto" w:sz="4" w:space="0"/>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455" w:hRule="atLeast"/>
          <w:jc w:val="center"/>
        </w:trPr>
        <w:tc>
          <w:tcPr>
            <w:tcW w:w="4888" w:type="dxa"/>
            <w:tcBorders>
              <w:bottom w:val="single" w:color="auto" w:sz="4" w:space="0"/>
            </w:tcBorders>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u w:val="none"/>
              </w:rPr>
              <w:t>负债合计</w:t>
            </w:r>
          </w:p>
        </w:tc>
        <w:tc>
          <w:tcPr>
            <w:tcW w:w="1680" w:type="dxa"/>
            <w:tcBorders>
              <w:bottom w:val="single" w:color="auto" w:sz="4" w:space="0"/>
            </w:tcBorders>
            <w:shd w:val="clear" w:color="FFFFFF" w:fill="FFFFFF"/>
            <w:vAlign w:val="center"/>
          </w:tcPr>
          <w:p>
            <w:pPr>
              <w:pageBreakBefore w:val="0"/>
              <w:spacing w:line="320" w:lineRule="exact"/>
              <w:ind w:right="13"/>
              <w:jc w:val="center"/>
              <w:textAlignment w:val="auto"/>
            </w:pPr>
          </w:p>
        </w:tc>
        <w:tc>
          <w:tcPr>
            <w:tcW w:w="1560" w:type="dxa"/>
            <w:tcBorders>
              <w:bottom w:val="single" w:color="auto" w:sz="4" w:space="0"/>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0.16</w:t>
            </w:r>
          </w:p>
        </w:tc>
        <w:tc>
          <w:tcPr>
            <w:tcW w:w="1560" w:type="dxa"/>
            <w:tcBorders>
              <w:bottom w:val="single" w:color="auto" w:sz="4" w:space="0"/>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0.16</w:t>
            </w:r>
          </w:p>
        </w:tc>
      </w:tr>
      <w:tr>
        <w:tblPrEx>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累计盈余</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6.60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10.08</w:t>
            </w:r>
          </w:p>
        </w:tc>
      </w:tr>
      <w:tr>
        <w:tblPrEx>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专用基金</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权益法调整</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Times New Roman" w:hAnsi="Times New Roman" w:eastAsia="Times New Roman" w:cs="Times New Roman"/>
                <w:b w:val="0"/>
                <w:i w:val="0"/>
                <w:color w:val="auto"/>
                <w:position w:val="-1"/>
                <w:u w:val="none"/>
              </w:rPr>
              <w:t xml:space="preserve">  PPP项目净资产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455" w:hRule="atLeast"/>
          <w:jc w:val="center"/>
        </w:trPr>
        <w:tc>
          <w:tcPr>
            <w:tcW w:w="4888" w:type="dxa"/>
            <w:tcBorders>
              <w:bottom w:val="single" w:color="auto" w:sz="4" w:space="0"/>
            </w:tcBorders>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u w:val="none"/>
              </w:rPr>
              <w:t>净资产合计</w:t>
            </w:r>
          </w:p>
        </w:tc>
        <w:tc>
          <w:tcPr>
            <w:tcW w:w="1680" w:type="dxa"/>
            <w:tcBorders>
              <w:bottom w:val="single" w:color="auto" w:sz="4" w:space="0"/>
            </w:tcBorders>
            <w:shd w:val="clear" w:color="FFFFFF" w:fill="FFFFFF"/>
            <w:vAlign w:val="center"/>
          </w:tcPr>
          <w:p>
            <w:pPr>
              <w:pageBreakBefore w:val="0"/>
              <w:spacing w:line="320" w:lineRule="exact"/>
              <w:ind w:right="13"/>
              <w:jc w:val="center"/>
              <w:textAlignment w:val="auto"/>
            </w:pPr>
          </w:p>
        </w:tc>
        <w:tc>
          <w:tcPr>
            <w:tcW w:w="1560" w:type="dxa"/>
            <w:tcBorders>
              <w:bottom w:val="single" w:color="auto" w:sz="4" w:space="0"/>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6.60</w:t>
            </w:r>
          </w:p>
        </w:tc>
        <w:tc>
          <w:tcPr>
            <w:tcW w:w="1560" w:type="dxa"/>
            <w:tcBorders>
              <w:bottom w:val="single" w:color="auto" w:sz="4" w:space="0"/>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10.08</w:t>
            </w:r>
          </w:p>
        </w:tc>
      </w:tr>
      <w:tr>
        <w:tblPrEx>
          <w:shd w:val="clear" w:color="000000" w:fill="auto"/>
          <w:tblCellMar>
            <w:top w:w="0" w:type="dxa"/>
            <w:left w:w="108" w:type="dxa"/>
            <w:bottom w:w="0" w:type="dxa"/>
            <w:right w:w="108" w:type="dxa"/>
          </w:tblCellMar>
        </w:tblPrEx>
        <w:trPr>
          <w:trHeight w:val="455" w:hRule="atLeast"/>
          <w:jc w:val="center"/>
        </w:trPr>
        <w:tc>
          <w:tcPr>
            <w:tcW w:w="4888" w:type="dxa"/>
            <w:tcBorders>
              <w:bottom w:val="single" w:color="auto" w:sz="12" w:space="0"/>
            </w:tcBorders>
            <w:shd w:val="clear" w:color="FFFFFF" w:fill="FFFFFF"/>
            <w:vAlign w:val="center"/>
          </w:tcPr>
          <w:p>
            <w:pPr>
              <w:pageBreakBefore w:val="0"/>
              <w:spacing w:line="320" w:lineRule="exact"/>
              <w:ind w:right="240"/>
              <w:jc w:val="center"/>
              <w:textAlignment w:val="auto"/>
            </w:pPr>
            <w:r>
              <w:rPr>
                <w:rFonts w:ascii="Times New Roman" w:hAnsi="Times New Roman" w:eastAsia="Times New Roman" w:cs="Times New Roman"/>
                <w:b/>
                <w:i w:val="0"/>
                <w:color w:val="auto"/>
                <w:position w:val="-1"/>
                <w:u w:val="none"/>
              </w:rPr>
              <w:t>负债及净资产总计</w:t>
            </w:r>
          </w:p>
        </w:tc>
        <w:tc>
          <w:tcPr>
            <w:tcW w:w="1680" w:type="dxa"/>
            <w:tcBorders>
              <w:bottom w:val="single" w:color="auto" w:sz="12" w:space="0"/>
            </w:tcBorders>
            <w:shd w:val="clear" w:color="FFFFFF" w:fill="FFFFFF"/>
            <w:vAlign w:val="center"/>
          </w:tcPr>
          <w:p>
            <w:pPr>
              <w:pageBreakBefore w:val="0"/>
              <w:spacing w:line="320" w:lineRule="exact"/>
              <w:ind w:right="13"/>
              <w:jc w:val="center"/>
              <w:textAlignment w:val="auto"/>
            </w:pPr>
          </w:p>
        </w:tc>
        <w:tc>
          <w:tcPr>
            <w:tcW w:w="1560" w:type="dxa"/>
            <w:tcBorders>
              <w:bottom w:val="single" w:color="auto" w:sz="12" w:space="0"/>
            </w:tcBorders>
            <w:shd w:val="clear" w:color="FFFFFF" w:fill="FFFFFF"/>
            <w:vAlign w:val="center"/>
          </w:tcPr>
          <w:p>
            <w:pPr>
              <w:pageBreakBefore w:val="0"/>
              <w:spacing w:line="320" w:lineRule="exact"/>
              <w:ind w:right="16"/>
              <w:jc w:val="right"/>
              <w:textAlignment w:val="auto"/>
            </w:pPr>
            <w:r>
              <w:rPr>
                <w:rFonts w:ascii="Times New Roman" w:hAnsi="Times New Roman" w:eastAsia="Times New Roman" w:cs="Times New Roman"/>
                <w:b w:val="0"/>
                <w:i w:val="0"/>
                <w:color w:val="000000"/>
                <w:position w:val="-1"/>
                <w:u w:val="none"/>
              </w:rPr>
              <w:t>6.76</w:t>
            </w:r>
          </w:p>
        </w:tc>
        <w:tc>
          <w:tcPr>
            <w:tcW w:w="1560" w:type="dxa"/>
            <w:tcBorders>
              <w:bottom w:val="single" w:color="auto" w:sz="12" w:space="0"/>
            </w:tcBorders>
            <w:shd w:val="clear" w:color="FFFFFF" w:fill="FFFFFF"/>
            <w:vAlign w:val="center"/>
          </w:tcPr>
          <w:p>
            <w:pPr>
              <w:pageBreakBefore w:val="0"/>
              <w:spacing w:line="320" w:lineRule="exact"/>
              <w:ind w:right="18"/>
              <w:jc w:val="right"/>
              <w:textAlignment w:val="auto"/>
            </w:pPr>
            <w:r>
              <w:rPr>
                <w:rFonts w:ascii="Times New Roman" w:hAnsi="Times New Roman" w:eastAsia="Times New Roman" w:cs="Times New Roman"/>
                <w:b w:val="0"/>
                <w:i w:val="0"/>
                <w:color w:val="000000"/>
                <w:position w:val="-1"/>
                <w:u w:val="none"/>
              </w:rPr>
              <w:t>10.24</w:t>
            </w:r>
          </w:p>
        </w:tc>
      </w:tr>
    </w:tbl>
    <w:p>
      <w:pPr>
        <w:spacing w:line="360" w:lineRule="auto"/>
        <w:ind w:right="176" w:rightChars="80" w:firstLine="480" w:firstLineChars="200"/>
        <w:rPr>
          <w:rFonts w:eastAsia="宋体" w:cs="仿宋_GB2312"/>
          <w:color w:val="00B0F0"/>
          <w:kern w:val="16"/>
          <w:sz w:val="24"/>
        </w:rPr>
      </w:pPr>
      <w:bookmarkStart w:id="36" w:name="_Toc435362490"/>
      <w:bookmarkStart w:id="37" w:name="_Toc435361947"/>
      <w:bookmarkStart w:id="38" w:name="_Toc435362292"/>
      <w:bookmarkStart w:id="39" w:name="_Toc435362065"/>
    </w:p>
    <w:p>
      <w:pPr>
        <w:widowControl w:val="0"/>
        <w:ind w:left="440" w:leftChars="200"/>
        <w:jc w:val="both"/>
        <w:rPr>
          <w:rFonts w:eastAsia="宋体" w:cs="仿宋_GB2312"/>
          <w:color w:val="000000"/>
          <w:sz w:val="24"/>
        </w:rPr>
      </w:pPr>
      <w:r>
        <w:rPr>
          <w:rFonts w:hint="eastAsia" w:eastAsia="宋体" w:cs="仿宋_GB2312"/>
          <w:color w:val="000000"/>
          <w:sz w:val="24"/>
        </w:rPr>
        <w:t>表</w:t>
      </w:r>
      <w:r>
        <w:rPr>
          <w:rFonts w:eastAsia="宋体" w:cs="仿宋_GB2312"/>
          <w:color w:val="000000"/>
          <w:sz w:val="24"/>
        </w:rPr>
        <w:t>2</w:t>
      </w:r>
      <w:bookmarkEnd w:id="36"/>
      <w:bookmarkEnd w:id="37"/>
      <w:bookmarkEnd w:id="38"/>
      <w:bookmarkEnd w:id="39"/>
      <w:r>
        <w:rPr>
          <w:rFonts w:hint="eastAsia" w:eastAsia="宋体" w:cs="仿宋_GB2312"/>
          <w:color w:val="000000"/>
          <w:sz w:val="24"/>
        </w:rPr>
        <w:t>-1</w:t>
      </w:r>
    </w:p>
    <w:p>
      <w:pPr>
        <w:widowControl w:val="0"/>
        <w:spacing w:after="229" w:line="281" w:lineRule="exact"/>
        <w:ind w:left="240" w:right="240"/>
        <w:jc w:val="center"/>
        <w:outlineLvl w:val="2"/>
        <w:rPr>
          <w:rFonts w:eastAsia="宋体"/>
          <w:b/>
          <w:bCs/>
          <w:color w:val="000000"/>
          <w:spacing w:val="-1"/>
          <w:sz w:val="24"/>
        </w:rPr>
      </w:pPr>
      <w:bookmarkStart w:id="40" w:name="_Toc35500804"/>
      <w:bookmarkStart w:id="41" w:name="_Toc35452578"/>
      <w:r>
        <w:rPr>
          <w:rFonts w:hint="eastAsia" w:eastAsia="宋体"/>
          <w:b/>
          <w:bCs/>
          <w:color w:val="000000"/>
          <w:spacing w:val="-1"/>
          <w:sz w:val="24"/>
        </w:rPr>
        <w:t>收入费用表</w:t>
      </w:r>
      <w:r>
        <w:rPr>
          <w:rFonts w:eastAsia="宋体"/>
          <w:b/>
          <w:bCs/>
          <w:color w:val="000000"/>
          <w:spacing w:val="-1"/>
          <w:sz w:val="24"/>
        </w:rPr>
        <w:t>（1）</w:t>
      </w:r>
      <w:bookmarkEnd w:id="40"/>
      <w:bookmarkEnd w:id="41"/>
    </w:p>
    <w:p>
      <w:pPr>
        <w:tabs>
          <w:tab w:val="left" w:pos="4962"/>
          <w:tab w:val="left" w:pos="8670"/>
        </w:tabs>
        <w:adjustRightInd w:val="0"/>
        <w:snapToGrid w:val="0"/>
        <w:spacing w:line="320" w:lineRule="exact"/>
        <w:ind w:right="-41"/>
        <w:rPr>
          <w:rFonts w:eastAsia="宋体"/>
          <w:b/>
          <w:bCs/>
          <w:szCs w:val="22"/>
        </w:rPr>
      </w:pPr>
      <w:r>
        <w:rPr>
          <w:rFonts w:hint="eastAsia" w:eastAsia="宋体"/>
          <w:szCs w:val="22"/>
        </w:rPr>
        <w:t>编制单位：内蒙古自治区通辽市奈曼旗委员会机构编制委员会办公室</w:t>
      </w:r>
      <w:r>
        <w:rPr>
          <w:rFonts w:hint="eastAsia" w:eastAsia="宋体"/>
          <w:szCs w:val="22"/>
          <w:lang w:val="en-US" w:eastAsia="zh-CN"/>
        </w:rPr>
        <w:t xml:space="preserve">     </w:t>
      </w:r>
      <w:r>
        <w:rPr>
          <w:rFonts w:hint="eastAsia" w:eastAsia="宋体"/>
          <w:szCs w:val="22"/>
        </w:rPr>
        <w:t>2021年</w:t>
      </w:r>
      <w:r>
        <w:rPr>
          <w:rFonts w:hint="eastAsia" w:eastAsia="宋体"/>
          <w:szCs w:val="22"/>
          <w:lang w:val="en-US" w:eastAsia="zh-CN"/>
        </w:rPr>
        <w:t xml:space="preserve">      </w:t>
      </w:r>
      <w:r>
        <w:rPr>
          <w:rFonts w:hint="eastAsia" w:eastAsia="宋体"/>
          <w:szCs w:val="22"/>
        </w:rPr>
        <w:t>单位：万元</w:t>
      </w:r>
    </w:p>
    <w:tbl>
      <w:tblPr>
        <w:tblStyle w:val="33"/>
        <w:tblW w:w="9781" w:type="dxa"/>
        <w:tblInd w:w="0" w:type="dxa"/>
        <w:tblLayout w:type="fixed"/>
        <w:tblCellMar>
          <w:top w:w="0" w:type="dxa"/>
          <w:left w:w="108" w:type="dxa"/>
          <w:bottom w:w="0" w:type="dxa"/>
          <w:right w:w="108" w:type="dxa"/>
        </w:tblCellMar>
      </w:tblPr>
      <w:tblGrid>
        <w:gridCol w:w="4351"/>
        <w:gridCol w:w="1886"/>
        <w:gridCol w:w="1701"/>
        <w:gridCol w:w="1843"/>
      </w:tblGrid>
      <w:tr>
        <w:tblPrEx>
          <w:tblCellMar>
            <w:top w:w="0" w:type="dxa"/>
            <w:left w:w="108" w:type="dxa"/>
            <w:bottom w:w="0" w:type="dxa"/>
            <w:right w:w="108" w:type="dxa"/>
          </w:tblCellMar>
        </w:tblPrEx>
        <w:trPr>
          <w:trHeight w:val="397" w:hRule="atLeast"/>
          <w:tblHeader/>
        </w:trPr>
        <w:tc>
          <w:tcPr>
            <w:tcW w:w="4351" w:type="dxa"/>
            <w:tcBorders>
              <w:top w:val="single" w:color="auto" w:sz="12" w:space="0"/>
              <w:bottom w:val="single" w:color="auto" w:sz="4" w:space="0"/>
            </w:tcBorders>
            <w:shd w:val="clear" w:color="FFFFFF" w:fill="FFFFFF"/>
            <w:vAlign w:val="center"/>
          </w:tcPr>
          <w:p>
            <w:pPr>
              <w:ind w:left="240" w:right="240"/>
              <w:jc w:val="center"/>
              <w:rPr>
                <w:rFonts w:eastAsia="宋体"/>
                <w:b/>
                <w:bCs/>
                <w:szCs w:val="22"/>
              </w:rPr>
            </w:pPr>
            <w:r>
              <w:rPr>
                <w:rFonts w:hint="eastAsia" w:eastAsia="宋体"/>
                <w:b/>
                <w:bCs/>
                <w:szCs w:val="22"/>
              </w:rPr>
              <w:t>项目</w:t>
            </w:r>
          </w:p>
        </w:tc>
        <w:tc>
          <w:tcPr>
            <w:tcW w:w="1886" w:type="dxa"/>
            <w:tcBorders>
              <w:top w:val="single" w:color="auto" w:sz="12" w:space="0"/>
              <w:bottom w:val="single" w:color="auto" w:sz="4" w:space="0"/>
            </w:tcBorders>
            <w:shd w:val="clear" w:color="FFFFFF" w:fill="FFFFFF"/>
            <w:vAlign w:val="center"/>
          </w:tcPr>
          <w:p>
            <w:pPr>
              <w:ind w:left="240" w:right="240"/>
              <w:jc w:val="center"/>
              <w:rPr>
                <w:rFonts w:eastAsia="宋体"/>
                <w:b/>
                <w:bCs/>
                <w:szCs w:val="22"/>
              </w:rPr>
            </w:pPr>
            <w:r>
              <w:rPr>
                <w:rFonts w:hint="eastAsia" w:eastAsia="宋体"/>
                <w:b/>
                <w:bCs/>
                <w:szCs w:val="22"/>
              </w:rPr>
              <w:t>附注</w:t>
            </w:r>
          </w:p>
        </w:tc>
        <w:tc>
          <w:tcPr>
            <w:tcW w:w="1701" w:type="dxa"/>
            <w:tcBorders>
              <w:top w:val="single" w:color="auto" w:sz="12" w:space="0"/>
              <w:bottom w:val="single" w:color="auto" w:sz="4" w:space="0"/>
            </w:tcBorders>
            <w:shd w:val="clear" w:color="FFFFFF" w:fill="FFFFFF"/>
            <w:vAlign w:val="center"/>
          </w:tcPr>
          <w:p>
            <w:pPr>
              <w:ind w:left="240" w:right="240"/>
              <w:jc w:val="center"/>
              <w:rPr>
                <w:rFonts w:eastAsia="宋体"/>
                <w:b/>
                <w:bCs/>
                <w:szCs w:val="22"/>
              </w:rPr>
            </w:pPr>
            <w:r>
              <w:rPr>
                <w:rFonts w:hint="eastAsia" w:eastAsia="宋体"/>
                <w:b/>
                <w:bCs/>
                <w:szCs w:val="22"/>
              </w:rPr>
              <w:t>本年数</w:t>
            </w:r>
          </w:p>
        </w:tc>
        <w:tc>
          <w:tcPr>
            <w:tcW w:w="1843" w:type="dxa"/>
            <w:tcBorders>
              <w:top w:val="single" w:color="auto" w:sz="12" w:space="0"/>
              <w:bottom w:val="single" w:color="auto" w:sz="4" w:space="0"/>
            </w:tcBorders>
            <w:shd w:val="clear" w:color="FFFFFF" w:fill="FFFFFF"/>
            <w:vAlign w:val="center"/>
          </w:tcPr>
          <w:p>
            <w:pPr>
              <w:ind w:left="240" w:right="240"/>
              <w:jc w:val="center"/>
              <w:rPr>
                <w:rFonts w:eastAsia="宋体"/>
                <w:b/>
                <w:bCs/>
                <w:szCs w:val="22"/>
              </w:rPr>
            </w:pPr>
            <w:r>
              <w:rPr>
                <w:rFonts w:hint="eastAsia" w:eastAsia="宋体"/>
                <w:b/>
                <w:bCs/>
                <w:szCs w:val="22"/>
              </w:rPr>
              <w:t>上年数</w:t>
            </w:r>
          </w:p>
        </w:tc>
      </w:tr>
      <w:tr>
        <w:tblPrEx>
          <w:tblCellMar>
            <w:top w:w="0" w:type="dxa"/>
            <w:left w:w="108" w:type="dxa"/>
            <w:bottom w:w="0" w:type="dxa"/>
            <w:right w:w="108" w:type="dxa"/>
          </w:tblCellMar>
        </w:tblPrEx>
        <w:trPr>
          <w:trHeight w:val="20" w:hRule="exact"/>
          <w:tblHeader/>
        </w:trPr>
        <w:tc>
          <w:tcPr>
            <w:tcW w:w="4351" w:type="dxa"/>
            <w:tcBorders>
              <w:top w:val="single" w:color="auto" w:sz="4" w:space="0"/>
            </w:tcBorders>
            <w:shd w:val="clear" w:color="FFFFFF" w:fill="FFFFFF"/>
            <w:vAlign w:val="center"/>
          </w:tcPr>
          <w:p>
            <w:pPr>
              <w:ind w:left="240" w:right="240"/>
              <w:jc w:val="center"/>
              <w:rPr>
                <w:rFonts w:eastAsia="宋体"/>
                <w:b/>
                <w:bCs/>
                <w:szCs w:val="22"/>
              </w:rPr>
            </w:pPr>
          </w:p>
        </w:tc>
        <w:tc>
          <w:tcPr>
            <w:tcW w:w="1886" w:type="dxa"/>
            <w:tcBorders>
              <w:top w:val="single" w:color="auto" w:sz="4" w:space="0"/>
            </w:tcBorders>
            <w:shd w:val="clear" w:color="FFFFFF" w:fill="FFFFFF"/>
            <w:vAlign w:val="center"/>
          </w:tcPr>
          <w:p>
            <w:pPr>
              <w:ind w:left="240" w:right="240"/>
              <w:jc w:val="center"/>
              <w:rPr>
                <w:rFonts w:eastAsia="宋体"/>
                <w:b/>
                <w:bCs/>
                <w:szCs w:val="22"/>
              </w:rPr>
            </w:pPr>
          </w:p>
        </w:tc>
        <w:tc>
          <w:tcPr>
            <w:tcW w:w="1701" w:type="dxa"/>
            <w:tcBorders>
              <w:top w:val="single" w:color="auto" w:sz="4" w:space="0"/>
            </w:tcBorders>
            <w:shd w:val="clear" w:color="FFFFFF" w:fill="FFFFFF"/>
            <w:vAlign w:val="center"/>
          </w:tcPr>
          <w:p>
            <w:pPr>
              <w:ind w:left="240" w:right="240"/>
              <w:jc w:val="center"/>
              <w:rPr>
                <w:rFonts w:eastAsia="宋体"/>
                <w:b/>
                <w:bCs/>
                <w:szCs w:val="22"/>
              </w:rPr>
            </w:pPr>
          </w:p>
        </w:tc>
        <w:tc>
          <w:tcPr>
            <w:tcW w:w="1843" w:type="dxa"/>
            <w:tcBorders>
              <w:top w:val="single" w:color="auto" w:sz="4" w:space="0"/>
            </w:tcBorders>
            <w:shd w:val="clear" w:color="FFFFFF" w:fill="FFFFFF"/>
            <w:vAlign w:val="center"/>
          </w:tcPr>
          <w:p>
            <w:pPr>
              <w:ind w:left="240" w:right="240"/>
              <w:jc w:val="center"/>
              <w:rPr>
                <w:rFonts w:eastAsia="宋体"/>
                <w:b/>
                <w:bCs/>
                <w:szCs w:val="22"/>
              </w:rPr>
            </w:pP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财政拨款收入</w:t>
            </w:r>
          </w:p>
        </w:tc>
        <w:tc>
          <w:tcPr>
            <w:tcW w:w="1886" w:type="dxa"/>
            <w:shd w:val="clear" w:color="FFFFFF" w:fill="FFFFFF"/>
            <w:vAlign w:val="center"/>
          </w:tcPr>
          <w:p>
            <w:pPr>
              <w:pageBreakBefore w:val="0"/>
              <w:ind w:left="-11" w:leftChars="-5" w:firstLine="13" w:firstLineChars="6"/>
              <w:jc w:val="center"/>
              <w:textAlignment w:val="auto"/>
            </w:pP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142.08</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120.51</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事业收入</w:t>
            </w:r>
          </w:p>
        </w:tc>
        <w:tc>
          <w:tcPr>
            <w:tcW w:w="1886" w:type="dxa"/>
            <w:shd w:val="clear" w:color="FFFFFF" w:fill="FFFFFF"/>
            <w:vAlign w:val="center"/>
          </w:tcPr>
          <w:p>
            <w:pPr>
              <w:pageBreakBefore w:val="0"/>
              <w:ind w:left="-11" w:leftChars="-5" w:firstLine="13" w:firstLineChars="6"/>
              <w:jc w:val="center"/>
              <w:textAlignment w:val="auto"/>
            </w:pPr>
            <w:r>
              <w:rPr>
                <w:rFonts w:ascii="Times New Roman" w:hAnsi="Times New Roman" w:eastAsia="Times New Roman" w:cs="Times New Roman"/>
                <w:b w:val="0"/>
                <w:i w:val="0"/>
                <w:color w:val="000000"/>
                <w:position w:val="-1"/>
                <w:u w:val="none"/>
              </w:rPr>
              <w:t xml:space="preserve">  附表20</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上级补助收入</w:t>
            </w:r>
          </w:p>
        </w:tc>
        <w:tc>
          <w:tcPr>
            <w:tcW w:w="1886" w:type="dxa"/>
            <w:shd w:val="clear" w:color="FFFFFF" w:fill="FFFFFF"/>
            <w:vAlign w:val="center"/>
          </w:tcPr>
          <w:p>
            <w:pPr>
              <w:pageBreakBefore w:val="0"/>
              <w:ind w:left="-11" w:leftChars="-5" w:firstLine="13" w:firstLineChars="6"/>
              <w:jc w:val="center"/>
              <w:textAlignment w:val="auto"/>
            </w:pPr>
            <w:r>
              <w:rPr>
                <w:rFonts w:ascii="Times New Roman" w:hAnsi="Times New Roman" w:eastAsia="Times New Roman" w:cs="Times New Roman"/>
                <w:b w:val="0"/>
                <w:i w:val="0"/>
                <w:color w:val="000000"/>
                <w:position w:val="-1"/>
                <w:u w:val="none"/>
              </w:rPr>
              <w:t xml:space="preserve">  </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附属单位上缴收入</w:t>
            </w:r>
          </w:p>
        </w:tc>
        <w:tc>
          <w:tcPr>
            <w:tcW w:w="1886" w:type="dxa"/>
            <w:shd w:val="clear" w:color="FFFFFF" w:fill="FFFFFF"/>
            <w:vAlign w:val="center"/>
          </w:tcPr>
          <w:p>
            <w:pPr>
              <w:pageBreakBefore w:val="0"/>
              <w:ind w:left="-11" w:leftChars="-5" w:firstLine="13" w:firstLineChars="6"/>
              <w:jc w:val="center"/>
              <w:textAlignment w:val="auto"/>
            </w:pPr>
            <w:r>
              <w:rPr>
                <w:rFonts w:ascii="Times New Roman" w:hAnsi="Times New Roman" w:eastAsia="Times New Roman" w:cs="Times New Roman"/>
                <w:b w:val="0"/>
                <w:i w:val="0"/>
                <w:color w:val="000000"/>
                <w:position w:val="-1"/>
                <w:u w:val="none"/>
              </w:rPr>
              <w:t xml:space="preserve">  </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经营收入</w:t>
            </w:r>
          </w:p>
        </w:tc>
        <w:tc>
          <w:tcPr>
            <w:tcW w:w="1886" w:type="dxa"/>
            <w:shd w:val="clear" w:color="FFFFFF" w:fill="FFFFFF"/>
            <w:vAlign w:val="center"/>
          </w:tcPr>
          <w:p>
            <w:pPr>
              <w:pageBreakBefore w:val="0"/>
              <w:ind w:left="-11" w:leftChars="-5" w:firstLine="13" w:firstLineChars="6"/>
              <w:jc w:val="center"/>
              <w:textAlignment w:val="auto"/>
            </w:pPr>
            <w:r>
              <w:rPr>
                <w:rFonts w:ascii="Times New Roman" w:hAnsi="Times New Roman" w:eastAsia="Times New Roman" w:cs="Times New Roman"/>
                <w:b w:val="0"/>
                <w:i w:val="0"/>
                <w:color w:val="000000"/>
                <w:position w:val="-1"/>
                <w:u w:val="none"/>
              </w:rPr>
              <w:t xml:space="preserve">  附表21</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非同级财政拨款收入</w:t>
            </w:r>
          </w:p>
        </w:tc>
        <w:tc>
          <w:tcPr>
            <w:tcW w:w="1886" w:type="dxa"/>
            <w:shd w:val="clear" w:color="FFFFFF" w:fill="FFFFFF"/>
            <w:vAlign w:val="center"/>
          </w:tcPr>
          <w:p>
            <w:pPr>
              <w:pageBreakBefore w:val="0"/>
              <w:ind w:left="-11" w:leftChars="-5" w:firstLine="13" w:firstLineChars="6"/>
              <w:jc w:val="center"/>
              <w:textAlignment w:val="auto"/>
            </w:pPr>
            <w:r>
              <w:rPr>
                <w:rFonts w:ascii="Times New Roman" w:hAnsi="Times New Roman" w:eastAsia="Times New Roman" w:cs="Times New Roman"/>
                <w:b w:val="0"/>
                <w:i w:val="0"/>
                <w:color w:val="000000"/>
                <w:position w:val="-1"/>
                <w:u w:val="none"/>
              </w:rPr>
              <w:t xml:space="preserve">  附表22</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投资收益</w:t>
            </w:r>
          </w:p>
        </w:tc>
        <w:tc>
          <w:tcPr>
            <w:tcW w:w="1886" w:type="dxa"/>
            <w:shd w:val="clear" w:color="FFFFFF" w:fill="FFFFFF"/>
            <w:vAlign w:val="center"/>
          </w:tcPr>
          <w:p>
            <w:pPr>
              <w:pageBreakBefore w:val="0"/>
              <w:ind w:left="-11" w:leftChars="-5" w:firstLine="13" w:firstLineChars="6"/>
              <w:jc w:val="center"/>
              <w:textAlignment w:val="auto"/>
            </w:pPr>
            <w:r>
              <w:rPr>
                <w:rFonts w:ascii="Times New Roman" w:hAnsi="Times New Roman" w:eastAsia="Times New Roman" w:cs="Times New Roman"/>
                <w:b w:val="0"/>
                <w:i w:val="0"/>
                <w:color w:val="000000"/>
                <w:position w:val="-1"/>
                <w:u w:val="none"/>
              </w:rPr>
              <w:t xml:space="preserve">  附表6</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捐赠收入</w:t>
            </w:r>
          </w:p>
        </w:tc>
        <w:tc>
          <w:tcPr>
            <w:tcW w:w="1886" w:type="dxa"/>
            <w:shd w:val="clear" w:color="FFFFFF" w:fill="FFFFFF"/>
            <w:vAlign w:val="center"/>
          </w:tcPr>
          <w:p>
            <w:pPr>
              <w:pageBreakBefore w:val="0"/>
              <w:ind w:left="-11" w:leftChars="-5" w:firstLine="13" w:firstLineChars="6"/>
              <w:jc w:val="center"/>
              <w:textAlignment w:val="auto"/>
            </w:pP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利息收入</w:t>
            </w:r>
          </w:p>
        </w:tc>
        <w:tc>
          <w:tcPr>
            <w:tcW w:w="1886" w:type="dxa"/>
            <w:shd w:val="clear" w:color="FFFFFF" w:fill="FFFFFF"/>
            <w:vAlign w:val="center"/>
          </w:tcPr>
          <w:p>
            <w:pPr>
              <w:pageBreakBefore w:val="0"/>
              <w:ind w:left="-11" w:leftChars="-5" w:firstLine="13" w:firstLineChars="6"/>
              <w:jc w:val="center"/>
              <w:textAlignment w:val="auto"/>
            </w:pP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租金收入</w:t>
            </w:r>
          </w:p>
        </w:tc>
        <w:tc>
          <w:tcPr>
            <w:tcW w:w="1886" w:type="dxa"/>
            <w:shd w:val="clear" w:color="FFFFFF" w:fill="FFFFFF"/>
            <w:vAlign w:val="center"/>
          </w:tcPr>
          <w:p>
            <w:pPr>
              <w:pageBreakBefore w:val="0"/>
              <w:ind w:left="-11" w:leftChars="-5" w:firstLine="13" w:firstLineChars="6"/>
              <w:jc w:val="center"/>
              <w:textAlignment w:val="auto"/>
            </w:pPr>
            <w:r>
              <w:rPr>
                <w:rFonts w:ascii="Times New Roman" w:hAnsi="Times New Roman" w:eastAsia="Times New Roman" w:cs="Times New Roman"/>
                <w:b w:val="0"/>
                <w:i w:val="0"/>
                <w:color w:val="000000"/>
                <w:position w:val="-1"/>
                <w:u w:val="none"/>
              </w:rPr>
              <w:t xml:space="preserve">  附表23</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其他收入</w:t>
            </w:r>
          </w:p>
        </w:tc>
        <w:tc>
          <w:tcPr>
            <w:tcW w:w="1886" w:type="dxa"/>
            <w:shd w:val="clear" w:color="FFFFFF" w:fill="FFFFFF"/>
            <w:vAlign w:val="center"/>
          </w:tcPr>
          <w:p>
            <w:pPr>
              <w:pageBreakBefore w:val="0"/>
              <w:ind w:left="-11" w:leftChars="-5" w:firstLine="13" w:firstLineChars="6"/>
              <w:jc w:val="center"/>
              <w:textAlignment w:val="auto"/>
            </w:pPr>
            <w:r>
              <w:rPr>
                <w:rFonts w:ascii="Times New Roman" w:hAnsi="Times New Roman" w:eastAsia="Times New Roman" w:cs="Times New Roman"/>
                <w:b w:val="0"/>
                <w:i w:val="0"/>
                <w:color w:val="000000"/>
                <w:position w:val="-1"/>
                <w:u w:val="none"/>
              </w:rPr>
              <w:t xml:space="preserve">  附表24</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455" w:hRule="atLeast"/>
        </w:trPr>
        <w:tc>
          <w:tcPr>
            <w:tcW w:w="4351" w:type="dxa"/>
            <w:tcBorders>
              <w:bottom w:val="single" w:color="auto" w:sz="4" w:space="0"/>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000000"/>
                <w:position w:val="-1"/>
                <w:u w:val="none"/>
              </w:rPr>
              <w:t xml:space="preserve">  收入合计</w:t>
            </w:r>
          </w:p>
        </w:tc>
        <w:tc>
          <w:tcPr>
            <w:tcW w:w="1886" w:type="dxa"/>
            <w:tcBorders>
              <w:bottom w:val="single" w:color="auto" w:sz="4" w:space="0"/>
            </w:tcBorders>
            <w:shd w:val="clear" w:color="FFFFFF" w:fill="FFFFFF"/>
            <w:vAlign w:val="center"/>
          </w:tcPr>
          <w:p>
            <w:pPr>
              <w:pageBreakBefore w:val="0"/>
              <w:ind w:left="-11" w:leftChars="-5" w:firstLine="13" w:firstLineChars="6"/>
              <w:jc w:val="center"/>
              <w:textAlignment w:val="auto"/>
            </w:pPr>
          </w:p>
        </w:tc>
        <w:tc>
          <w:tcPr>
            <w:tcW w:w="1701" w:type="dxa"/>
            <w:tcBorders>
              <w:bottom w:val="single" w:color="auto" w:sz="4" w:space="0"/>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142.08</w:t>
            </w:r>
          </w:p>
        </w:tc>
        <w:tc>
          <w:tcPr>
            <w:tcW w:w="1843" w:type="dxa"/>
            <w:tcBorders>
              <w:bottom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120.51</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业务活动费用</w:t>
            </w:r>
          </w:p>
        </w:tc>
        <w:tc>
          <w:tcPr>
            <w:tcW w:w="1886" w:type="dxa"/>
            <w:shd w:val="clear" w:color="FFFFFF" w:fill="FFFFFF"/>
            <w:vAlign w:val="center"/>
          </w:tcPr>
          <w:p>
            <w:pPr>
              <w:pageBreakBefore w:val="0"/>
              <w:ind w:left="-11" w:leftChars="-5" w:firstLine="13" w:firstLineChars="6"/>
              <w:jc w:val="center"/>
              <w:textAlignment w:val="auto"/>
            </w:pPr>
            <w:r>
              <w:rPr>
                <w:rFonts w:ascii="Times New Roman" w:hAnsi="Times New Roman" w:eastAsia="Times New Roman" w:cs="Times New Roman"/>
                <w:b w:val="0"/>
                <w:i w:val="0"/>
                <w:color w:val="000000"/>
                <w:position w:val="-1"/>
                <w:u w:val="none"/>
              </w:rPr>
              <w:t xml:space="preserve">  附表25</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142.08</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120.51</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单位管理费用</w:t>
            </w:r>
          </w:p>
        </w:tc>
        <w:tc>
          <w:tcPr>
            <w:tcW w:w="1886" w:type="dxa"/>
            <w:shd w:val="clear" w:color="FFFFFF" w:fill="FFFFFF"/>
            <w:vAlign w:val="center"/>
          </w:tcPr>
          <w:p>
            <w:pPr>
              <w:pageBreakBefore w:val="0"/>
              <w:ind w:left="-11" w:leftChars="-5" w:firstLine="13" w:firstLineChars="6"/>
              <w:jc w:val="center"/>
              <w:textAlignment w:val="auto"/>
            </w:pPr>
            <w:r>
              <w:rPr>
                <w:rFonts w:ascii="Times New Roman" w:hAnsi="Times New Roman" w:eastAsia="Times New Roman" w:cs="Times New Roman"/>
                <w:b w:val="0"/>
                <w:i w:val="0"/>
                <w:color w:val="000000"/>
                <w:position w:val="-1"/>
                <w:u w:val="none"/>
              </w:rPr>
              <w:t xml:space="preserve">  附表26</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经营费用</w:t>
            </w:r>
          </w:p>
        </w:tc>
        <w:tc>
          <w:tcPr>
            <w:tcW w:w="1886" w:type="dxa"/>
            <w:shd w:val="clear" w:color="FFFFFF" w:fill="FFFFFF"/>
            <w:vAlign w:val="center"/>
          </w:tcPr>
          <w:p>
            <w:pPr>
              <w:pageBreakBefore w:val="0"/>
              <w:ind w:left="-11" w:leftChars="-5" w:firstLine="13" w:firstLineChars="6"/>
              <w:jc w:val="center"/>
              <w:textAlignment w:val="auto"/>
            </w:pPr>
            <w:r>
              <w:rPr>
                <w:rFonts w:ascii="Times New Roman" w:hAnsi="Times New Roman" w:eastAsia="Times New Roman" w:cs="Times New Roman"/>
                <w:b w:val="0"/>
                <w:i w:val="0"/>
                <w:color w:val="000000"/>
                <w:position w:val="-1"/>
                <w:u w:val="none"/>
              </w:rPr>
              <w:t xml:space="preserve">  附表27</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资产处置费用</w:t>
            </w:r>
          </w:p>
        </w:tc>
        <w:tc>
          <w:tcPr>
            <w:tcW w:w="1886" w:type="dxa"/>
            <w:shd w:val="clear" w:color="FFFFFF" w:fill="FFFFFF"/>
            <w:vAlign w:val="center"/>
          </w:tcPr>
          <w:p>
            <w:pPr>
              <w:pageBreakBefore w:val="0"/>
              <w:ind w:left="-11" w:leftChars="-5" w:firstLine="13" w:firstLineChars="6"/>
              <w:jc w:val="center"/>
              <w:textAlignment w:val="auto"/>
            </w:pP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上缴上级费用</w:t>
            </w:r>
          </w:p>
        </w:tc>
        <w:tc>
          <w:tcPr>
            <w:tcW w:w="1886" w:type="dxa"/>
            <w:shd w:val="clear" w:color="FFFFFF" w:fill="FFFFFF"/>
            <w:vAlign w:val="center"/>
          </w:tcPr>
          <w:p>
            <w:pPr>
              <w:pageBreakBefore w:val="0"/>
              <w:ind w:left="-11" w:leftChars="-5" w:firstLine="13" w:firstLineChars="6"/>
              <w:jc w:val="center"/>
              <w:textAlignment w:val="auto"/>
            </w:pPr>
            <w:r>
              <w:rPr>
                <w:rFonts w:ascii="Times New Roman" w:hAnsi="Times New Roman" w:eastAsia="Times New Roman" w:cs="Times New Roman"/>
                <w:b w:val="0"/>
                <w:i w:val="0"/>
                <w:color w:val="000000"/>
                <w:position w:val="-1"/>
                <w:u w:val="none"/>
              </w:rPr>
              <w:t xml:space="preserve">  </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对附属单位补助费用</w:t>
            </w:r>
          </w:p>
        </w:tc>
        <w:tc>
          <w:tcPr>
            <w:tcW w:w="1886" w:type="dxa"/>
            <w:shd w:val="clear" w:color="FFFFFF" w:fill="FFFFFF"/>
            <w:vAlign w:val="center"/>
          </w:tcPr>
          <w:p>
            <w:pPr>
              <w:pageBreakBefore w:val="0"/>
              <w:ind w:left="-11" w:leftChars="-5" w:firstLine="13" w:firstLineChars="6"/>
              <w:jc w:val="center"/>
              <w:textAlignment w:val="auto"/>
            </w:pPr>
            <w:r>
              <w:rPr>
                <w:rFonts w:ascii="Times New Roman" w:hAnsi="Times New Roman" w:eastAsia="Times New Roman" w:cs="Times New Roman"/>
                <w:b w:val="0"/>
                <w:i w:val="0"/>
                <w:color w:val="000000"/>
                <w:position w:val="-1"/>
                <w:u w:val="none"/>
              </w:rPr>
              <w:t xml:space="preserve">  </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所得税费用</w:t>
            </w:r>
          </w:p>
        </w:tc>
        <w:tc>
          <w:tcPr>
            <w:tcW w:w="1886" w:type="dxa"/>
            <w:shd w:val="clear" w:color="FFFFFF" w:fill="FFFFFF"/>
            <w:vAlign w:val="center"/>
          </w:tcPr>
          <w:p>
            <w:pPr>
              <w:pageBreakBefore w:val="0"/>
              <w:ind w:left="-11" w:leftChars="-5" w:firstLine="13" w:firstLineChars="6"/>
              <w:jc w:val="center"/>
              <w:textAlignment w:val="auto"/>
            </w:pP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其他费用</w:t>
            </w:r>
          </w:p>
        </w:tc>
        <w:tc>
          <w:tcPr>
            <w:tcW w:w="1886" w:type="dxa"/>
            <w:shd w:val="clear" w:color="FFFFFF" w:fill="FFFFFF"/>
            <w:vAlign w:val="center"/>
          </w:tcPr>
          <w:p>
            <w:pPr>
              <w:pageBreakBefore w:val="0"/>
              <w:ind w:left="-11" w:leftChars="-5" w:firstLine="13" w:firstLineChars="6"/>
              <w:jc w:val="center"/>
              <w:textAlignment w:val="auto"/>
            </w:pP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455" w:hRule="atLeast"/>
        </w:trPr>
        <w:tc>
          <w:tcPr>
            <w:tcW w:w="4351" w:type="dxa"/>
            <w:tcBorders>
              <w:bottom w:val="single" w:color="auto" w:sz="4" w:space="0"/>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000000"/>
                <w:position w:val="-1"/>
                <w:u w:val="none"/>
              </w:rPr>
              <w:t xml:space="preserve">  费用合计</w:t>
            </w:r>
          </w:p>
        </w:tc>
        <w:tc>
          <w:tcPr>
            <w:tcW w:w="1886" w:type="dxa"/>
            <w:tcBorders>
              <w:bottom w:val="single" w:color="auto" w:sz="4" w:space="0"/>
            </w:tcBorders>
            <w:shd w:val="clear" w:color="FFFFFF" w:fill="FFFFFF"/>
            <w:vAlign w:val="center"/>
          </w:tcPr>
          <w:p>
            <w:pPr>
              <w:pageBreakBefore w:val="0"/>
              <w:ind w:left="-11" w:leftChars="-5" w:firstLine="13" w:firstLineChars="6"/>
              <w:jc w:val="center"/>
              <w:textAlignment w:val="auto"/>
            </w:pPr>
          </w:p>
        </w:tc>
        <w:tc>
          <w:tcPr>
            <w:tcW w:w="1701" w:type="dxa"/>
            <w:tcBorders>
              <w:bottom w:val="single" w:color="auto" w:sz="4" w:space="0"/>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142.08</w:t>
            </w:r>
          </w:p>
        </w:tc>
        <w:tc>
          <w:tcPr>
            <w:tcW w:w="1843" w:type="dxa"/>
            <w:tcBorders>
              <w:bottom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120.51</w:t>
            </w:r>
          </w:p>
        </w:tc>
      </w:tr>
      <w:tr>
        <w:tblPrEx>
          <w:tblCellMar>
            <w:top w:w="0" w:type="dxa"/>
            <w:left w:w="108" w:type="dxa"/>
            <w:bottom w:w="0" w:type="dxa"/>
            <w:right w:w="108" w:type="dxa"/>
          </w:tblCellMar>
        </w:tblPrEx>
        <w:trPr>
          <w:trHeight w:val="455" w:hRule="atLeast"/>
        </w:trPr>
        <w:tc>
          <w:tcPr>
            <w:tcW w:w="4351" w:type="dxa"/>
            <w:tcBorders>
              <w:bottom w:val="single" w:color="auto" w:sz="12" w:space="0"/>
            </w:tcBorders>
            <w:shd w:val="clear" w:color="FFFFFF" w:fill="FFFFFF"/>
            <w:vAlign w:val="center"/>
          </w:tcPr>
          <w:p>
            <w:pPr>
              <w:pageBreakBefore w:val="0"/>
              <w:ind w:right="240"/>
              <w:jc w:val="center"/>
              <w:textAlignment w:val="auto"/>
            </w:pPr>
            <w:r>
              <w:rPr>
                <w:rFonts w:ascii="Times New Roman" w:hAnsi="Times New Roman" w:eastAsia="Times New Roman" w:cs="Times New Roman"/>
                <w:b/>
                <w:i w:val="0"/>
                <w:color w:val="000000"/>
                <w:position w:val="-1"/>
                <w:u w:val="none"/>
              </w:rPr>
              <w:t xml:space="preserve">  本年盈余</w:t>
            </w:r>
          </w:p>
        </w:tc>
        <w:tc>
          <w:tcPr>
            <w:tcW w:w="1886" w:type="dxa"/>
            <w:tcBorders>
              <w:bottom w:val="single" w:color="auto" w:sz="12" w:space="0"/>
            </w:tcBorders>
            <w:shd w:val="clear" w:color="FFFFFF" w:fill="FFFFFF"/>
            <w:vAlign w:val="center"/>
          </w:tcPr>
          <w:p>
            <w:pPr>
              <w:pageBreakBefore w:val="0"/>
              <w:ind w:left="-11" w:leftChars="-5" w:firstLine="13" w:firstLineChars="6"/>
              <w:jc w:val="center"/>
              <w:textAlignment w:val="auto"/>
            </w:pPr>
          </w:p>
        </w:tc>
        <w:tc>
          <w:tcPr>
            <w:tcW w:w="1701" w:type="dxa"/>
            <w:tcBorders>
              <w:bottom w:val="single" w:color="auto" w:sz="12" w:space="0"/>
            </w:tcBorders>
            <w:shd w:val="clear" w:color="FFFFFF" w:fill="FFFFFF"/>
            <w:vAlign w:val="center"/>
          </w:tcPr>
          <w:p>
            <w:pPr>
              <w:pageBreakBefore w:val="0"/>
              <w:ind w:left="36" w:right="-37" w:rightChars="-17"/>
              <w:jc w:val="right"/>
              <w:textAlignment w:val="auto"/>
            </w:pPr>
            <w:r>
              <w:rPr>
                <w:rFonts w:ascii="Times New Roman" w:hAnsi="Times New Roman" w:eastAsia="Times New Roman" w:cs="Times New Roman"/>
                <w:b w:val="0"/>
                <w:i w:val="0"/>
                <w:color w:val="000000"/>
                <w:position w:val="-1"/>
                <w:u w:val="none"/>
              </w:rPr>
              <w:t>0.00</w:t>
            </w:r>
          </w:p>
        </w:tc>
        <w:tc>
          <w:tcPr>
            <w:tcW w:w="1843" w:type="dxa"/>
            <w:tcBorders>
              <w:bottom w:val="single" w:color="auto" w:sz="12"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auto"/>
                <w:position w:val="-1"/>
                <w:u w:val="none"/>
              </w:rPr>
              <w:t>0.00</w:t>
            </w:r>
          </w:p>
        </w:tc>
      </w:tr>
    </w:tbl>
    <w:p>
      <w:pPr>
        <w:spacing w:line="360" w:lineRule="auto"/>
        <w:ind w:right="176" w:rightChars="80" w:firstLine="480" w:firstLineChars="200"/>
        <w:rPr>
          <w:rFonts w:eastAsia="宋体" w:cs="仿宋_GB2312"/>
          <w:color w:val="00B0F0"/>
          <w:kern w:val="16"/>
          <w:sz w:val="24"/>
        </w:rPr>
      </w:pPr>
    </w:p>
    <w:p>
      <w:pPr>
        <w:widowControl w:val="0"/>
        <w:ind w:left="440" w:leftChars="200"/>
        <w:jc w:val="both"/>
        <w:rPr>
          <w:rFonts w:eastAsia="宋体" w:cs="仿宋_GB2312"/>
          <w:color w:val="000000"/>
          <w:sz w:val="24"/>
        </w:rPr>
      </w:pPr>
      <w:r>
        <w:rPr>
          <w:rFonts w:hint="eastAsia" w:eastAsia="宋体" w:cs="仿宋_GB2312"/>
          <w:color w:val="000000"/>
          <w:sz w:val="24"/>
        </w:rPr>
        <w:t>表</w:t>
      </w:r>
      <w:r>
        <w:rPr>
          <w:rFonts w:eastAsia="宋体" w:cs="仿宋_GB2312"/>
          <w:color w:val="000000"/>
          <w:sz w:val="24"/>
        </w:rPr>
        <w:t>2</w:t>
      </w:r>
      <w:r>
        <w:rPr>
          <w:rFonts w:hint="eastAsia" w:eastAsia="宋体" w:cs="仿宋_GB2312"/>
          <w:color w:val="000000"/>
          <w:sz w:val="24"/>
        </w:rPr>
        <w:t>-2</w:t>
      </w:r>
    </w:p>
    <w:p>
      <w:pPr>
        <w:widowControl w:val="0"/>
        <w:spacing w:after="229" w:line="281" w:lineRule="exact"/>
        <w:ind w:left="240" w:right="240"/>
        <w:jc w:val="center"/>
        <w:outlineLvl w:val="2"/>
        <w:rPr>
          <w:rFonts w:eastAsia="宋体"/>
          <w:b/>
          <w:bCs/>
          <w:color w:val="000000"/>
          <w:spacing w:val="-1"/>
          <w:sz w:val="24"/>
        </w:rPr>
      </w:pPr>
      <w:bookmarkStart w:id="42" w:name="_Toc35452579"/>
      <w:bookmarkStart w:id="43" w:name="_Toc35500805"/>
      <w:r>
        <w:rPr>
          <w:rFonts w:hint="eastAsia" w:eastAsia="宋体"/>
          <w:b/>
          <w:bCs/>
          <w:color w:val="000000"/>
          <w:spacing w:val="-1"/>
          <w:sz w:val="24"/>
        </w:rPr>
        <w:t>收入费用表</w:t>
      </w:r>
      <w:r>
        <w:rPr>
          <w:rFonts w:eastAsia="宋体"/>
          <w:b/>
          <w:bCs/>
          <w:color w:val="000000"/>
          <w:spacing w:val="-1"/>
          <w:sz w:val="24"/>
        </w:rPr>
        <w:t>（</w:t>
      </w:r>
      <w:r>
        <w:rPr>
          <w:rFonts w:hint="eastAsia" w:eastAsia="宋体"/>
          <w:b/>
          <w:bCs/>
          <w:color w:val="000000"/>
          <w:spacing w:val="-1"/>
          <w:sz w:val="24"/>
        </w:rPr>
        <w:t>2</w:t>
      </w:r>
      <w:r>
        <w:rPr>
          <w:rFonts w:eastAsia="宋体"/>
          <w:b/>
          <w:bCs/>
          <w:color w:val="000000"/>
          <w:spacing w:val="-1"/>
          <w:sz w:val="24"/>
        </w:rPr>
        <w:t>）</w:t>
      </w:r>
      <w:bookmarkEnd w:id="42"/>
      <w:bookmarkEnd w:id="43"/>
    </w:p>
    <w:p>
      <w:pPr>
        <w:tabs>
          <w:tab w:val="left" w:pos="4962"/>
          <w:tab w:val="left" w:pos="8650"/>
          <w:tab w:val="left" w:pos="8931"/>
        </w:tabs>
        <w:adjustRightInd w:val="0"/>
        <w:snapToGrid w:val="0"/>
        <w:spacing w:line="320" w:lineRule="exact"/>
        <w:ind w:right="-41"/>
        <w:rPr>
          <w:rFonts w:eastAsia="宋体"/>
          <w:b/>
          <w:bCs/>
          <w:szCs w:val="22"/>
        </w:rPr>
      </w:pPr>
      <w:r>
        <w:rPr>
          <w:rFonts w:hint="eastAsia" w:eastAsia="宋体"/>
          <w:szCs w:val="22"/>
        </w:rPr>
        <w:t>编制单位：内蒙古自治区通辽市奈曼旗委员会机构编制委员会办公室</w:t>
      </w:r>
      <w:r>
        <w:rPr>
          <w:rFonts w:hint="eastAsia" w:eastAsia="宋体"/>
          <w:szCs w:val="22"/>
          <w:lang w:val="en-US" w:eastAsia="zh-CN"/>
        </w:rPr>
        <w:t xml:space="preserve">       </w:t>
      </w:r>
      <w:r>
        <w:rPr>
          <w:rFonts w:hint="eastAsia" w:eastAsia="宋体"/>
          <w:szCs w:val="22"/>
        </w:rPr>
        <w:t>2021年</w:t>
      </w:r>
      <w:r>
        <w:rPr>
          <w:rFonts w:hint="eastAsia" w:eastAsia="宋体"/>
          <w:szCs w:val="22"/>
          <w:lang w:val="en-US" w:eastAsia="zh-CN"/>
        </w:rPr>
        <w:t xml:space="preserve">    </w:t>
      </w:r>
      <w:r>
        <w:rPr>
          <w:rFonts w:hint="eastAsia" w:eastAsia="宋体"/>
          <w:szCs w:val="22"/>
        </w:rPr>
        <w:t>单位：万元</w:t>
      </w:r>
    </w:p>
    <w:tbl>
      <w:tblPr>
        <w:tblStyle w:val="33"/>
        <w:tblW w:w="9781" w:type="dxa"/>
        <w:tblInd w:w="0" w:type="dxa"/>
        <w:tblLayout w:type="fixed"/>
        <w:tblCellMar>
          <w:top w:w="0" w:type="dxa"/>
          <w:left w:w="108" w:type="dxa"/>
          <w:bottom w:w="0" w:type="dxa"/>
          <w:right w:w="108" w:type="dxa"/>
        </w:tblCellMar>
      </w:tblPr>
      <w:tblGrid>
        <w:gridCol w:w="4253"/>
        <w:gridCol w:w="1843"/>
        <w:gridCol w:w="1842"/>
        <w:gridCol w:w="1843"/>
      </w:tblGrid>
      <w:tr>
        <w:tblPrEx>
          <w:tblCellMar>
            <w:top w:w="0" w:type="dxa"/>
            <w:left w:w="108" w:type="dxa"/>
            <w:bottom w:w="0" w:type="dxa"/>
            <w:right w:w="108" w:type="dxa"/>
          </w:tblCellMar>
        </w:tblPrEx>
        <w:trPr>
          <w:trHeight w:val="397" w:hRule="atLeast"/>
          <w:tblHeader/>
        </w:trPr>
        <w:tc>
          <w:tcPr>
            <w:tcW w:w="4253" w:type="dxa"/>
            <w:tcBorders>
              <w:top w:val="single" w:color="auto" w:sz="12" w:space="0"/>
              <w:bottom w:val="single" w:color="auto" w:sz="4" w:space="0"/>
            </w:tcBorders>
            <w:shd w:val="clear" w:color="FFFFFF" w:fill="FFFFFF"/>
            <w:vAlign w:val="center"/>
          </w:tcPr>
          <w:p>
            <w:pPr>
              <w:ind w:left="240" w:right="240"/>
              <w:jc w:val="center"/>
              <w:rPr>
                <w:rFonts w:eastAsia="宋体"/>
                <w:b/>
                <w:bCs/>
                <w:szCs w:val="22"/>
              </w:rPr>
            </w:pPr>
            <w:r>
              <w:rPr>
                <w:rFonts w:hint="eastAsia" w:eastAsia="宋体"/>
                <w:b/>
                <w:bCs/>
                <w:szCs w:val="22"/>
              </w:rPr>
              <w:t>项目</w:t>
            </w:r>
          </w:p>
        </w:tc>
        <w:tc>
          <w:tcPr>
            <w:tcW w:w="1843" w:type="dxa"/>
            <w:tcBorders>
              <w:top w:val="single" w:color="auto" w:sz="12" w:space="0"/>
              <w:bottom w:val="single" w:color="auto" w:sz="4" w:space="0"/>
            </w:tcBorders>
            <w:shd w:val="clear" w:color="FFFFFF" w:fill="FFFFFF"/>
            <w:vAlign w:val="center"/>
          </w:tcPr>
          <w:p>
            <w:pPr>
              <w:ind w:left="240" w:right="240"/>
              <w:jc w:val="center"/>
              <w:rPr>
                <w:rFonts w:eastAsia="宋体"/>
                <w:b/>
                <w:bCs/>
                <w:szCs w:val="22"/>
              </w:rPr>
            </w:pPr>
            <w:r>
              <w:rPr>
                <w:rFonts w:hint="eastAsia" w:eastAsia="宋体"/>
                <w:b/>
                <w:bCs/>
                <w:szCs w:val="22"/>
              </w:rPr>
              <w:t>附注</w:t>
            </w:r>
          </w:p>
        </w:tc>
        <w:tc>
          <w:tcPr>
            <w:tcW w:w="1842" w:type="dxa"/>
            <w:tcBorders>
              <w:top w:val="single" w:color="auto" w:sz="12" w:space="0"/>
              <w:bottom w:val="single" w:color="auto" w:sz="4" w:space="0"/>
            </w:tcBorders>
            <w:shd w:val="clear" w:color="FFFFFF" w:fill="FFFFFF"/>
            <w:vAlign w:val="center"/>
          </w:tcPr>
          <w:p>
            <w:pPr>
              <w:ind w:left="240" w:right="240"/>
              <w:jc w:val="center"/>
              <w:rPr>
                <w:rFonts w:eastAsia="宋体"/>
                <w:b/>
                <w:bCs/>
                <w:szCs w:val="22"/>
              </w:rPr>
            </w:pPr>
            <w:r>
              <w:rPr>
                <w:rFonts w:hint="eastAsia" w:eastAsia="宋体"/>
                <w:b/>
                <w:bCs/>
                <w:szCs w:val="22"/>
              </w:rPr>
              <w:t>本年数</w:t>
            </w:r>
          </w:p>
        </w:tc>
        <w:tc>
          <w:tcPr>
            <w:tcW w:w="1843" w:type="dxa"/>
            <w:tcBorders>
              <w:top w:val="single" w:color="auto" w:sz="12" w:space="0"/>
              <w:bottom w:val="single" w:color="auto" w:sz="4" w:space="0"/>
            </w:tcBorders>
            <w:shd w:val="clear" w:color="FFFFFF" w:fill="FFFFFF"/>
            <w:vAlign w:val="center"/>
          </w:tcPr>
          <w:p>
            <w:pPr>
              <w:ind w:left="240" w:right="240"/>
              <w:jc w:val="center"/>
              <w:rPr>
                <w:rFonts w:eastAsia="宋体"/>
                <w:b/>
                <w:bCs/>
                <w:szCs w:val="22"/>
              </w:rPr>
            </w:pPr>
            <w:r>
              <w:rPr>
                <w:rFonts w:hint="eastAsia" w:eastAsia="宋体"/>
                <w:b/>
                <w:bCs/>
                <w:szCs w:val="22"/>
              </w:rPr>
              <w:t>上年数</w:t>
            </w:r>
          </w:p>
        </w:tc>
      </w:tr>
      <w:tr>
        <w:tblPrEx>
          <w:tblCellMar>
            <w:top w:w="0" w:type="dxa"/>
            <w:left w:w="108" w:type="dxa"/>
            <w:bottom w:w="0" w:type="dxa"/>
            <w:right w:w="108" w:type="dxa"/>
          </w:tblCellMar>
        </w:tblPrEx>
        <w:trPr>
          <w:trHeight w:val="20" w:hRule="exact"/>
          <w:tblHeader/>
        </w:trPr>
        <w:tc>
          <w:tcPr>
            <w:tcW w:w="4253" w:type="dxa"/>
            <w:tcBorders>
              <w:top w:val="single" w:color="auto" w:sz="4" w:space="0"/>
            </w:tcBorders>
            <w:shd w:val="clear" w:color="FFFFFF" w:fill="FFFFFF"/>
            <w:vAlign w:val="center"/>
          </w:tcPr>
          <w:p>
            <w:pPr>
              <w:ind w:left="240" w:right="240"/>
              <w:jc w:val="center"/>
              <w:rPr>
                <w:rFonts w:eastAsia="宋体"/>
                <w:b/>
                <w:bCs/>
                <w:szCs w:val="22"/>
              </w:rPr>
            </w:pPr>
          </w:p>
        </w:tc>
        <w:tc>
          <w:tcPr>
            <w:tcW w:w="1843" w:type="dxa"/>
            <w:tcBorders>
              <w:top w:val="single" w:color="auto" w:sz="4" w:space="0"/>
            </w:tcBorders>
            <w:shd w:val="clear" w:color="FFFFFF" w:fill="FFFFFF"/>
            <w:vAlign w:val="center"/>
          </w:tcPr>
          <w:p>
            <w:pPr>
              <w:ind w:left="240" w:right="240"/>
              <w:jc w:val="center"/>
              <w:rPr>
                <w:rFonts w:eastAsia="宋体"/>
                <w:b/>
                <w:bCs/>
                <w:szCs w:val="22"/>
              </w:rPr>
            </w:pPr>
          </w:p>
        </w:tc>
        <w:tc>
          <w:tcPr>
            <w:tcW w:w="1842" w:type="dxa"/>
            <w:tcBorders>
              <w:top w:val="single" w:color="auto" w:sz="4" w:space="0"/>
            </w:tcBorders>
            <w:shd w:val="clear" w:color="FFFFFF" w:fill="FFFFFF"/>
            <w:vAlign w:val="center"/>
          </w:tcPr>
          <w:p>
            <w:pPr>
              <w:ind w:left="240" w:right="240"/>
              <w:jc w:val="center"/>
              <w:rPr>
                <w:rFonts w:eastAsia="宋体"/>
                <w:b/>
                <w:bCs/>
                <w:szCs w:val="22"/>
              </w:rPr>
            </w:pPr>
          </w:p>
        </w:tc>
        <w:tc>
          <w:tcPr>
            <w:tcW w:w="1843" w:type="dxa"/>
            <w:tcBorders>
              <w:top w:val="single" w:color="auto" w:sz="4" w:space="0"/>
            </w:tcBorders>
            <w:shd w:val="clear" w:color="FFFFFF" w:fill="FFFFFF"/>
            <w:vAlign w:val="center"/>
          </w:tcPr>
          <w:p>
            <w:pPr>
              <w:ind w:left="240" w:right="240"/>
              <w:jc w:val="center"/>
              <w:rPr>
                <w:rFonts w:eastAsia="宋体"/>
                <w:b/>
                <w:bCs/>
                <w:szCs w:val="22"/>
              </w:rPr>
            </w:pP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财政拨款收入</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142.08</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120.51</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事业收入</w:t>
            </w:r>
          </w:p>
        </w:tc>
        <w:tc>
          <w:tcPr>
            <w:tcW w:w="1843" w:type="dxa"/>
            <w:shd w:val="clear" w:color="FFFFFF" w:fill="FFFFFF"/>
            <w:vAlign w:val="center"/>
          </w:tcPr>
          <w:p>
            <w:pPr>
              <w:pageBreakBefore w:val="0"/>
              <w:ind w:left="194"/>
              <w:jc w:val="center"/>
              <w:textAlignment w:val="auto"/>
            </w:pPr>
            <w:r>
              <w:rPr>
                <w:rFonts w:ascii="Times New Roman" w:hAnsi="Times New Roman" w:eastAsia="Times New Roman" w:cs="Times New Roman"/>
                <w:b w:val="0"/>
                <w:i w:val="0"/>
                <w:color w:val="auto"/>
                <w:position w:val="-1"/>
                <w:u w:val="none"/>
              </w:rPr>
              <w:t>附表20</w:t>
            </w: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上级补助收入</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附属单位上缴收入</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经营收入</w:t>
            </w:r>
          </w:p>
        </w:tc>
        <w:tc>
          <w:tcPr>
            <w:tcW w:w="1843" w:type="dxa"/>
            <w:shd w:val="clear" w:color="FFFFFF" w:fill="FFFFFF"/>
            <w:vAlign w:val="center"/>
          </w:tcPr>
          <w:p>
            <w:pPr>
              <w:pageBreakBefore w:val="0"/>
              <w:ind w:left="194"/>
              <w:jc w:val="center"/>
              <w:textAlignment w:val="auto"/>
            </w:pPr>
            <w:r>
              <w:rPr>
                <w:rFonts w:ascii="Times New Roman" w:hAnsi="Times New Roman" w:eastAsia="Times New Roman" w:cs="Times New Roman"/>
                <w:b w:val="0"/>
                <w:i w:val="0"/>
                <w:color w:val="auto"/>
                <w:position w:val="-1"/>
                <w:u w:val="none"/>
              </w:rPr>
              <w:t>附表21</w:t>
            </w: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非同级财政拨款收入</w:t>
            </w:r>
          </w:p>
        </w:tc>
        <w:tc>
          <w:tcPr>
            <w:tcW w:w="1843" w:type="dxa"/>
            <w:shd w:val="clear" w:color="FFFFFF" w:fill="FFFFFF"/>
            <w:vAlign w:val="center"/>
          </w:tcPr>
          <w:p>
            <w:pPr>
              <w:pageBreakBefore w:val="0"/>
              <w:ind w:left="194"/>
              <w:jc w:val="center"/>
              <w:textAlignment w:val="auto"/>
            </w:pPr>
            <w:r>
              <w:rPr>
                <w:rFonts w:ascii="Times New Roman" w:hAnsi="Times New Roman" w:eastAsia="Times New Roman" w:cs="Times New Roman"/>
                <w:b w:val="0"/>
                <w:i w:val="0"/>
                <w:color w:val="auto"/>
                <w:position w:val="-1"/>
                <w:u w:val="none"/>
              </w:rPr>
              <w:t>附表22</w:t>
            </w: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投资收益</w:t>
            </w:r>
          </w:p>
        </w:tc>
        <w:tc>
          <w:tcPr>
            <w:tcW w:w="1843" w:type="dxa"/>
            <w:shd w:val="clear" w:color="FFFFFF" w:fill="FFFFFF"/>
            <w:vAlign w:val="center"/>
          </w:tcPr>
          <w:p>
            <w:pPr>
              <w:pageBreakBefore w:val="0"/>
              <w:ind w:left="194"/>
              <w:jc w:val="center"/>
              <w:textAlignment w:val="auto"/>
            </w:pPr>
            <w:r>
              <w:rPr>
                <w:rFonts w:ascii="Times New Roman" w:hAnsi="Times New Roman" w:eastAsia="Times New Roman" w:cs="Times New Roman"/>
                <w:b w:val="0"/>
                <w:i w:val="0"/>
                <w:color w:val="auto"/>
                <w:position w:val="-1"/>
                <w:u w:val="none"/>
              </w:rPr>
              <w:t>附表6</w:t>
            </w: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捐赠收入</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利息收入</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租金收入</w:t>
            </w:r>
          </w:p>
        </w:tc>
        <w:tc>
          <w:tcPr>
            <w:tcW w:w="1843" w:type="dxa"/>
            <w:shd w:val="clear" w:color="FFFFFF" w:fill="FFFFFF"/>
            <w:vAlign w:val="center"/>
          </w:tcPr>
          <w:p>
            <w:pPr>
              <w:pageBreakBefore w:val="0"/>
              <w:ind w:left="194"/>
              <w:jc w:val="center"/>
              <w:textAlignment w:val="auto"/>
            </w:pPr>
            <w:r>
              <w:rPr>
                <w:rFonts w:ascii="Times New Roman" w:hAnsi="Times New Roman" w:eastAsia="Times New Roman" w:cs="Times New Roman"/>
                <w:b w:val="0"/>
                <w:i w:val="0"/>
                <w:color w:val="auto"/>
                <w:position w:val="-1"/>
                <w:u w:val="none"/>
              </w:rPr>
              <w:t>附表23</w:t>
            </w: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其他收入</w:t>
            </w:r>
          </w:p>
        </w:tc>
        <w:tc>
          <w:tcPr>
            <w:tcW w:w="1843" w:type="dxa"/>
            <w:shd w:val="clear" w:color="FFFFFF" w:fill="FFFFFF"/>
            <w:vAlign w:val="center"/>
          </w:tcPr>
          <w:p>
            <w:pPr>
              <w:pageBreakBefore w:val="0"/>
              <w:ind w:left="194"/>
              <w:jc w:val="center"/>
              <w:textAlignment w:val="auto"/>
            </w:pPr>
            <w:r>
              <w:rPr>
                <w:rFonts w:ascii="Times New Roman" w:hAnsi="Times New Roman" w:eastAsia="Times New Roman" w:cs="Times New Roman"/>
                <w:b w:val="0"/>
                <w:i w:val="0"/>
                <w:color w:val="auto"/>
                <w:position w:val="-1"/>
                <w:u w:val="none"/>
              </w:rPr>
              <w:t>附表24</w:t>
            </w: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455" w:hRule="atLeast"/>
        </w:trPr>
        <w:tc>
          <w:tcPr>
            <w:tcW w:w="4253" w:type="dxa"/>
            <w:tcBorders>
              <w:bottom w:val="single" w:color="auto" w:sz="4" w:space="0"/>
            </w:tcBorders>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i w:val="0"/>
                <w:color w:val="auto"/>
                <w:position w:val="-1"/>
                <w:u w:val="none"/>
              </w:rPr>
              <w:t>收入合计</w:t>
            </w:r>
          </w:p>
        </w:tc>
        <w:tc>
          <w:tcPr>
            <w:tcW w:w="1843" w:type="dxa"/>
            <w:tcBorders>
              <w:bottom w:val="single" w:color="auto" w:sz="4" w:space="0"/>
            </w:tcBorders>
            <w:shd w:val="clear" w:color="FFFFFF" w:fill="FFFFFF"/>
            <w:vAlign w:val="center"/>
          </w:tcPr>
          <w:p>
            <w:pPr>
              <w:pageBreakBefore w:val="0"/>
              <w:ind w:left="194"/>
              <w:jc w:val="center"/>
              <w:textAlignment w:val="auto"/>
            </w:pPr>
          </w:p>
        </w:tc>
        <w:tc>
          <w:tcPr>
            <w:tcW w:w="1842" w:type="dxa"/>
            <w:tcBorders>
              <w:bottom w:val="single" w:color="auto" w:sz="4" w:space="0"/>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142.08</w:t>
            </w:r>
          </w:p>
        </w:tc>
        <w:tc>
          <w:tcPr>
            <w:tcW w:w="1843" w:type="dxa"/>
            <w:tcBorders>
              <w:bottom w:val="single" w:color="auto" w:sz="4" w:space="0"/>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120.51</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工资福利费用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125.86</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105.00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商品和服务费用</w:t>
            </w:r>
          </w:p>
        </w:tc>
        <w:tc>
          <w:tcPr>
            <w:tcW w:w="1843" w:type="dxa"/>
            <w:shd w:val="clear" w:color="FFFFFF" w:fill="FFFFFF"/>
            <w:vAlign w:val="center"/>
          </w:tcPr>
          <w:p>
            <w:pPr>
              <w:pageBreakBefore w:val="0"/>
              <w:ind w:left="194"/>
              <w:jc w:val="center"/>
              <w:textAlignment w:val="auto"/>
            </w:pPr>
            <w:r>
              <w:rPr>
                <w:rFonts w:ascii="Times New Roman" w:hAnsi="Times New Roman" w:eastAsia="Times New Roman" w:cs="Times New Roman"/>
                <w:b w:val="0"/>
                <w:i w:val="0"/>
                <w:color w:val="auto"/>
                <w:position w:val="-1"/>
                <w:u w:val="none"/>
              </w:rPr>
              <w:t>附表28</w:t>
            </w: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16.01</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15.30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对个人和家庭的补助费用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0.21</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0.21</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对企业补助费用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固定资产折旧费用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无形资产摊销费用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公共基础设施折旧（摊销）费用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保障性住房折旧费用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计提专用基金</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资产处置费用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上缴上级费用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对附属单位补助费用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所得税费用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val="0"/>
                <w:i w:val="0"/>
                <w:color w:val="auto"/>
                <w:position w:val="-1"/>
                <w:u w:val="none"/>
              </w:rPr>
              <w:t>其他费用</w:t>
            </w:r>
          </w:p>
        </w:tc>
        <w:tc>
          <w:tcPr>
            <w:tcW w:w="1843" w:type="dxa"/>
            <w:shd w:val="clear" w:color="FFFFFF" w:fill="FFFFFF"/>
            <w:vAlign w:val="center"/>
          </w:tcPr>
          <w:p>
            <w:pPr>
              <w:pageBreakBefore w:val="0"/>
              <w:ind w:left="194"/>
              <w:jc w:val="center"/>
              <w:textAlignment w:val="auto"/>
            </w:pPr>
            <w:r>
              <w:rPr>
                <w:rFonts w:ascii="Times New Roman" w:hAnsi="Times New Roman" w:eastAsia="Times New Roman" w:cs="Times New Roman"/>
                <w:b w:val="0"/>
                <w:i w:val="0"/>
                <w:color w:val="auto"/>
                <w:position w:val="-1"/>
                <w:u w:val="none"/>
              </w:rPr>
              <w:t>附表29</w:t>
            </w:r>
          </w:p>
        </w:tc>
        <w:tc>
          <w:tcPr>
            <w:tcW w:w="1842"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455" w:hRule="atLeast"/>
        </w:trPr>
        <w:tc>
          <w:tcPr>
            <w:tcW w:w="4253" w:type="dxa"/>
            <w:tcBorders>
              <w:bottom w:val="single" w:color="auto" w:sz="4" w:space="0"/>
            </w:tcBorders>
            <w:shd w:val="clear" w:color="FFFFFF" w:fill="FFFFFF"/>
            <w:vAlign w:val="center"/>
          </w:tcPr>
          <w:p>
            <w:pPr>
              <w:pageBreakBefore w:val="0"/>
              <w:ind w:right="240" w:firstLine="220" w:firstLineChars="100"/>
              <w:jc w:val="left"/>
              <w:textAlignment w:val="auto"/>
            </w:pPr>
            <w:r>
              <w:rPr>
                <w:rFonts w:ascii="Times New Roman" w:hAnsi="Times New Roman" w:eastAsia="Times New Roman" w:cs="Times New Roman"/>
                <w:b/>
                <w:i w:val="0"/>
                <w:color w:val="auto"/>
                <w:position w:val="-1"/>
                <w:u w:val="none"/>
              </w:rPr>
              <w:t>费用合计</w:t>
            </w:r>
          </w:p>
        </w:tc>
        <w:tc>
          <w:tcPr>
            <w:tcW w:w="1843" w:type="dxa"/>
            <w:tcBorders>
              <w:bottom w:val="single" w:color="auto" w:sz="4" w:space="0"/>
            </w:tcBorders>
            <w:shd w:val="clear" w:color="FFFFFF" w:fill="FFFFFF"/>
            <w:vAlign w:val="center"/>
          </w:tcPr>
          <w:p>
            <w:pPr>
              <w:pageBreakBefore w:val="0"/>
              <w:ind w:left="194"/>
              <w:jc w:val="center"/>
              <w:textAlignment w:val="auto"/>
            </w:pPr>
          </w:p>
        </w:tc>
        <w:tc>
          <w:tcPr>
            <w:tcW w:w="1842" w:type="dxa"/>
            <w:tcBorders>
              <w:bottom w:val="single" w:color="auto" w:sz="4" w:space="0"/>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142.08</w:t>
            </w:r>
          </w:p>
        </w:tc>
        <w:tc>
          <w:tcPr>
            <w:tcW w:w="1843" w:type="dxa"/>
            <w:tcBorders>
              <w:bottom w:val="single" w:color="auto" w:sz="4" w:space="0"/>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120.51</w:t>
            </w:r>
          </w:p>
        </w:tc>
      </w:tr>
      <w:tr>
        <w:tblPrEx>
          <w:tblCellMar>
            <w:top w:w="0" w:type="dxa"/>
            <w:left w:w="108" w:type="dxa"/>
            <w:bottom w:w="0" w:type="dxa"/>
            <w:right w:w="108" w:type="dxa"/>
          </w:tblCellMar>
        </w:tblPrEx>
        <w:trPr>
          <w:trHeight w:val="455" w:hRule="atLeast"/>
        </w:trPr>
        <w:tc>
          <w:tcPr>
            <w:tcW w:w="4253" w:type="dxa"/>
            <w:tcBorders>
              <w:bottom w:val="single" w:color="auto" w:sz="12" w:space="0"/>
            </w:tcBorders>
            <w:shd w:val="clear" w:color="FFFFFF" w:fill="FFFFFF"/>
            <w:vAlign w:val="center"/>
          </w:tcPr>
          <w:p>
            <w:pPr>
              <w:pageBreakBefore w:val="0"/>
              <w:ind w:right="240" w:firstLine="220" w:firstLineChars="100"/>
              <w:jc w:val="center"/>
              <w:textAlignment w:val="auto"/>
            </w:pPr>
            <w:r>
              <w:rPr>
                <w:rFonts w:ascii="Times New Roman" w:hAnsi="Times New Roman" w:eastAsia="Times New Roman" w:cs="Times New Roman"/>
                <w:b/>
                <w:i w:val="0"/>
                <w:color w:val="auto"/>
                <w:position w:val="-1"/>
                <w:u w:val="none"/>
              </w:rPr>
              <w:t>本年盈余</w:t>
            </w:r>
          </w:p>
        </w:tc>
        <w:tc>
          <w:tcPr>
            <w:tcW w:w="1843" w:type="dxa"/>
            <w:tcBorders>
              <w:bottom w:val="single" w:color="auto" w:sz="12" w:space="0"/>
            </w:tcBorders>
            <w:shd w:val="clear" w:color="FFFFFF" w:fill="FFFFFF"/>
            <w:vAlign w:val="center"/>
          </w:tcPr>
          <w:p>
            <w:pPr>
              <w:pageBreakBefore w:val="0"/>
              <w:ind w:left="194"/>
              <w:jc w:val="center"/>
              <w:textAlignment w:val="auto"/>
            </w:pPr>
          </w:p>
        </w:tc>
        <w:tc>
          <w:tcPr>
            <w:tcW w:w="1842" w:type="dxa"/>
            <w:tcBorders>
              <w:bottom w:val="single" w:color="auto" w:sz="12" w:space="0"/>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c>
          <w:tcPr>
            <w:tcW w:w="1843" w:type="dxa"/>
            <w:tcBorders>
              <w:bottom w:val="single" w:color="auto" w:sz="12" w:space="0"/>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9781" w:type="dxa"/>
            <w:gridSpan w:val="4"/>
            <w:shd w:val="clear" w:color="FFFFFF" w:fill="FFFFFF"/>
            <w:vAlign w:val="center"/>
          </w:tcPr>
          <w:p>
            <w:pPr>
              <w:ind w:right="-108" w:rightChars="-49"/>
              <w:rPr>
                <w:rFonts w:eastAsia="宋体"/>
                <w:szCs w:val="22"/>
              </w:rPr>
            </w:pPr>
            <w:r>
              <w:rPr>
                <w:rFonts w:hint="eastAsia" w:eastAsia="宋体" w:cs="微软雅黑"/>
                <w:color w:val="000000"/>
                <w:szCs w:val="22"/>
              </w:rPr>
              <w:t>表</w:t>
            </w:r>
            <w:r>
              <w:rPr>
                <w:rFonts w:eastAsia="宋体" w:cs="DejaVu Sans"/>
                <w:color w:val="000000"/>
                <w:szCs w:val="22"/>
              </w:rPr>
              <w:t xml:space="preserve"> 2-2 </w:t>
            </w:r>
            <w:r>
              <w:rPr>
                <w:rFonts w:hint="eastAsia" w:eastAsia="宋体" w:cs="微软雅黑"/>
                <w:color w:val="000000"/>
                <w:szCs w:val="22"/>
              </w:rPr>
              <w:t>的</w:t>
            </w:r>
            <w:r>
              <w:rPr>
                <w:rFonts w:eastAsia="宋体" w:cs="DejaVu Sans"/>
                <w:color w:val="000000"/>
                <w:szCs w:val="22"/>
              </w:rPr>
              <w:t>“</w:t>
            </w:r>
            <w:r>
              <w:rPr>
                <w:rFonts w:hint="eastAsia" w:eastAsia="宋体" w:cs="微软雅黑"/>
                <w:color w:val="000000"/>
                <w:szCs w:val="22"/>
              </w:rPr>
              <w:t>其他费用</w:t>
            </w:r>
            <w:r>
              <w:rPr>
                <w:rFonts w:eastAsia="宋体" w:cs="DejaVu Sans"/>
                <w:color w:val="000000"/>
                <w:szCs w:val="22"/>
              </w:rPr>
              <w:t>”</w:t>
            </w:r>
            <w:r>
              <w:rPr>
                <w:rFonts w:hint="eastAsia" w:eastAsia="宋体" w:cs="微软雅黑"/>
                <w:color w:val="000000"/>
                <w:szCs w:val="22"/>
              </w:rPr>
              <w:t>包括</w:t>
            </w:r>
            <w:r>
              <w:rPr>
                <w:rFonts w:eastAsia="宋体" w:cs="DejaVu Sans"/>
                <w:color w:val="000000"/>
                <w:szCs w:val="22"/>
              </w:rPr>
              <w:t>“</w:t>
            </w:r>
            <w:r>
              <w:rPr>
                <w:rFonts w:hint="eastAsia" w:eastAsia="宋体" w:cs="微软雅黑"/>
                <w:color w:val="000000"/>
                <w:szCs w:val="22"/>
              </w:rPr>
              <w:t>业务活动费用</w:t>
            </w:r>
            <w:r>
              <w:rPr>
                <w:rFonts w:eastAsia="宋体" w:cs="DejaVu Sans"/>
                <w:color w:val="000000"/>
                <w:szCs w:val="22"/>
              </w:rPr>
              <w:t>”“</w:t>
            </w:r>
            <w:r>
              <w:rPr>
                <w:rFonts w:hint="eastAsia" w:eastAsia="宋体" w:cs="微软雅黑"/>
                <w:color w:val="000000"/>
                <w:szCs w:val="22"/>
              </w:rPr>
              <w:t>单位管理费用</w:t>
            </w:r>
            <w:r>
              <w:rPr>
                <w:rFonts w:eastAsia="宋体" w:cs="DejaVu Sans"/>
                <w:color w:val="000000"/>
                <w:szCs w:val="22"/>
              </w:rPr>
              <w:t>”“</w:t>
            </w:r>
            <w:r>
              <w:rPr>
                <w:rFonts w:hint="eastAsia" w:eastAsia="宋体" w:cs="微软雅黑"/>
                <w:color w:val="000000"/>
                <w:szCs w:val="22"/>
              </w:rPr>
              <w:t>经营费用</w:t>
            </w:r>
            <w:r>
              <w:rPr>
                <w:rFonts w:eastAsia="宋体" w:cs="DejaVu Sans"/>
                <w:color w:val="000000"/>
                <w:szCs w:val="22"/>
              </w:rPr>
              <w:t>”</w:t>
            </w:r>
            <w:r>
              <w:rPr>
                <w:rFonts w:hint="eastAsia" w:eastAsia="宋体" w:cs="微软雅黑"/>
                <w:color w:val="000000"/>
                <w:szCs w:val="22"/>
              </w:rPr>
              <w:t>等会计科目中的其他部分。</w:t>
            </w:r>
          </w:p>
        </w:tc>
      </w:tr>
    </w:tbl>
    <w:p>
      <w:pPr>
        <w:spacing w:line="360" w:lineRule="auto"/>
        <w:ind w:right="176" w:rightChars="80" w:firstLine="480" w:firstLineChars="200"/>
        <w:rPr>
          <w:rFonts w:eastAsia="宋体" w:cs="仿宋_GB2312"/>
          <w:color w:val="00B0F0"/>
          <w:kern w:val="16"/>
          <w:sz w:val="24"/>
        </w:rPr>
      </w:pPr>
    </w:p>
    <w:p>
      <w:pPr>
        <w:pStyle w:val="3"/>
        <w:spacing w:before="0" w:after="0" w:line="360" w:lineRule="auto"/>
        <w:ind w:left="220" w:leftChars="100"/>
        <w:jc w:val="left"/>
        <w:rPr>
          <w:rFonts w:ascii="楷体_GB2312" w:hAnsi="楷体_GB2312" w:eastAsia="楷体_GB2312" w:cs="楷体_GB2312"/>
          <w:b w:val="0"/>
          <w:color w:val="000000"/>
          <w:sz w:val="30"/>
          <w:szCs w:val="30"/>
        </w:rPr>
      </w:pPr>
      <w:bookmarkStart w:id="44" w:name="_Toc35452580"/>
      <w:bookmarkStart w:id="45" w:name="_Toc35500806"/>
      <w:bookmarkStart w:id="46" w:name="_Toc333610272"/>
      <w:r>
        <w:rPr>
          <w:rFonts w:ascii="楷体_GB2312" w:hAnsi="楷体_GB2312" w:eastAsia="楷体_GB2312" w:cs="楷体_GB2312"/>
          <w:b w:val="0"/>
          <w:color w:val="000000"/>
          <w:sz w:val="30"/>
          <w:szCs w:val="30"/>
        </w:rPr>
        <w:t>（二）政府部门会计报表附注</w:t>
      </w:r>
      <w:bookmarkEnd w:id="44"/>
      <w:bookmarkEnd w:id="45"/>
    </w:p>
    <w:p>
      <w:pPr>
        <w:pStyle w:val="4"/>
        <w:spacing w:before="0" w:after="0" w:line="360" w:lineRule="auto"/>
        <w:ind w:left="454" w:leftChars="200" w:hanging="14" w:hangingChars="6"/>
        <w:jc w:val="left"/>
        <w:rPr>
          <w:rFonts w:ascii="宋体" w:hAnsi="宋体" w:eastAsia="宋体" w:cs="宋体"/>
          <w:b/>
          <w:color w:val="000000"/>
          <w:spacing w:val="-1"/>
          <w:kern w:val="0"/>
          <w:sz w:val="24"/>
          <w:szCs w:val="24"/>
        </w:rPr>
      </w:pPr>
      <w:bookmarkStart w:id="47" w:name="2.遵循相关制度规定的声明。（略）"/>
      <w:bookmarkEnd w:id="47"/>
      <w:bookmarkStart w:id="48" w:name="1.会计报表编制基础。（略）"/>
      <w:bookmarkEnd w:id="48"/>
      <w:bookmarkStart w:id="49" w:name="_Toc35452581"/>
      <w:bookmarkStart w:id="50" w:name="_Toc35500807"/>
      <w:bookmarkStart w:id="51" w:name="_Toc35452582"/>
      <w:r>
        <w:rPr>
          <w:rFonts w:ascii="宋体" w:hAnsi="宋体" w:eastAsia="宋体" w:cs="宋体"/>
          <w:b/>
          <w:color w:val="000000"/>
          <w:spacing w:val="-1"/>
          <w:kern w:val="0"/>
          <w:sz w:val="24"/>
          <w:szCs w:val="24"/>
        </w:rPr>
        <w:t>1.</w:t>
      </w:r>
      <w:r>
        <w:rPr>
          <w:rFonts w:hint="eastAsia" w:ascii="宋体" w:hAnsi="宋体" w:eastAsia="宋体" w:cs="宋体"/>
          <w:b/>
          <w:color w:val="000000"/>
          <w:spacing w:val="-1"/>
          <w:kern w:val="0"/>
          <w:sz w:val="24"/>
          <w:szCs w:val="24"/>
        </w:rPr>
        <w:t>会计报表编制基础</w:t>
      </w:r>
      <w:bookmarkEnd w:id="49"/>
      <w:bookmarkEnd w:id="50"/>
    </w:p>
    <w:p>
      <w:pPr>
        <w:spacing w:line="360" w:lineRule="auto"/>
        <w:ind w:right="240" w:firstLine="480" w:firstLineChars="200"/>
        <w:rPr>
          <w:rFonts w:hint="eastAsia" w:eastAsia="宋体"/>
          <w:sz w:val="24"/>
          <w:lang w:val="en-US" w:eastAsia="zh-CN"/>
        </w:rPr>
      </w:pPr>
      <w:r>
        <w:rPr>
          <w:rFonts w:hint="eastAsia" w:eastAsia="宋体"/>
          <w:sz w:val="24"/>
          <w:lang w:val="en-US" w:eastAsia="zh-CN"/>
        </w:rPr>
        <w:t>我单位会计报表以权责发生制为基础编制。</w:t>
      </w:r>
    </w:p>
    <w:p>
      <w:pPr>
        <w:spacing w:line="360" w:lineRule="auto"/>
        <w:ind w:right="176" w:rightChars="80" w:firstLine="480" w:firstLineChars="200"/>
        <w:rPr>
          <w:rFonts w:eastAsia="宋体" w:cs="仿宋_GB2312"/>
          <w:color w:val="00B0F0"/>
          <w:kern w:val="16"/>
          <w:sz w:val="24"/>
        </w:rPr>
      </w:pPr>
    </w:p>
    <w:p>
      <w:pPr>
        <w:pStyle w:val="4"/>
        <w:spacing w:before="0" w:after="0" w:line="360" w:lineRule="auto"/>
        <w:ind w:left="454" w:leftChars="200" w:hanging="14" w:hangingChars="6"/>
        <w:jc w:val="left"/>
        <w:rPr>
          <w:rFonts w:ascii="宋体" w:hAnsi="宋体" w:eastAsia="宋体" w:cs="宋体"/>
          <w:b/>
          <w:color w:val="000000"/>
          <w:spacing w:val="-1"/>
          <w:kern w:val="0"/>
          <w:sz w:val="24"/>
          <w:szCs w:val="24"/>
        </w:rPr>
      </w:pPr>
      <w:bookmarkStart w:id="52" w:name="_Toc35500808"/>
      <w:r>
        <w:rPr>
          <w:rFonts w:ascii="宋体" w:hAnsi="宋体" w:eastAsia="宋体" w:cs="宋体"/>
          <w:b/>
          <w:color w:val="000000"/>
          <w:spacing w:val="-1"/>
          <w:kern w:val="0"/>
          <w:sz w:val="24"/>
          <w:szCs w:val="24"/>
        </w:rPr>
        <w:t>2.遵循相关制度规定的声明</w:t>
      </w:r>
      <w:bookmarkEnd w:id="51"/>
      <w:bookmarkEnd w:id="52"/>
    </w:p>
    <w:p>
      <w:pPr>
        <w:pStyle w:val="109"/>
        <w:spacing w:line="360" w:lineRule="auto"/>
        <w:ind w:firstLine="480"/>
        <w:jc w:val="both"/>
        <w:rPr>
          <w:rFonts w:ascii="宋体" w:hAnsi="宋体" w:eastAsia="宋体" w:cs="仿宋_GB2312"/>
          <w:color w:val="000000" w:themeColor="text1"/>
          <w:kern w:val="16"/>
          <w:sz w:val="24"/>
          <w:szCs w:val="24"/>
          <w14:textFill>
            <w14:solidFill>
              <w14:schemeClr w14:val="tx1"/>
            </w14:solidFill>
          </w14:textFill>
        </w:rPr>
      </w:pPr>
      <w:r>
        <w:rPr>
          <w:rFonts w:hint="eastAsia" w:ascii="宋体" w:hAnsi="宋体" w:eastAsia="宋体" w:cs="仿宋_GB2312"/>
          <w:color w:val="000000" w:themeColor="text1"/>
          <w:kern w:val="16"/>
          <w:sz w:val="24"/>
          <w:szCs w:val="24"/>
          <w:lang w:eastAsia="zh-CN"/>
          <w14:textFill>
            <w14:solidFill>
              <w14:schemeClr w14:val="tx1"/>
            </w14:solidFill>
          </w14:textFill>
        </w:rPr>
        <w:t>中共奈曼旗委员会机构编制委员会办公室</w:t>
      </w:r>
      <w:r>
        <w:rPr>
          <w:rFonts w:hint="eastAsia" w:ascii="宋体" w:hAnsi="宋体" w:eastAsia="宋体" w:cs="仿宋_GB2312"/>
          <w:color w:val="000000" w:themeColor="text1"/>
          <w:kern w:val="16"/>
          <w:sz w:val="24"/>
          <w:szCs w:val="24"/>
          <w14:textFill>
            <w14:solidFill>
              <w14:schemeClr w14:val="tx1"/>
            </w14:solidFill>
          </w14:textFill>
        </w:rPr>
        <w:t>编制的会计报表符合政府会计准则、相关会计制度和财务报告编制规定的要求，如实反映政府部门的财务状况、运行情况等有关信息。</w:t>
      </w:r>
    </w:p>
    <w:p>
      <w:pPr>
        <w:spacing w:line="360" w:lineRule="auto"/>
        <w:ind w:right="176" w:rightChars="80" w:firstLine="480" w:firstLineChars="200"/>
        <w:rPr>
          <w:rFonts w:eastAsia="宋体" w:cs="仿宋_GB2312"/>
          <w:color w:val="00B0F0"/>
          <w:kern w:val="16"/>
          <w:sz w:val="24"/>
        </w:rPr>
      </w:pPr>
    </w:p>
    <w:p>
      <w:pPr>
        <w:pStyle w:val="4"/>
        <w:spacing w:before="0" w:after="0" w:line="360" w:lineRule="auto"/>
        <w:ind w:left="454" w:leftChars="200" w:hanging="14" w:hangingChars="6"/>
        <w:jc w:val="left"/>
        <w:rPr>
          <w:rFonts w:ascii="宋体" w:hAnsi="宋体" w:eastAsia="宋体" w:cs="宋体"/>
          <w:b/>
          <w:color w:val="000000"/>
          <w:spacing w:val="-1"/>
          <w:kern w:val="0"/>
          <w:sz w:val="24"/>
          <w:szCs w:val="24"/>
        </w:rPr>
      </w:pPr>
      <w:bookmarkStart w:id="53" w:name="3.合并范围。（略）"/>
      <w:bookmarkEnd w:id="53"/>
      <w:bookmarkStart w:id="54" w:name="_Toc35500809"/>
      <w:bookmarkStart w:id="55" w:name="_Toc35452583"/>
      <w:r>
        <w:rPr>
          <w:rFonts w:hint="eastAsia" w:ascii="宋体" w:hAnsi="宋体" w:eastAsia="宋体" w:cs="宋体"/>
          <w:b/>
          <w:color w:val="000000"/>
          <w:spacing w:val="-1"/>
          <w:kern w:val="0"/>
          <w:sz w:val="24"/>
          <w:szCs w:val="24"/>
        </w:rPr>
        <w:t>3</w:t>
      </w:r>
      <w:r>
        <w:rPr>
          <w:rFonts w:ascii="宋体" w:hAnsi="宋体" w:eastAsia="宋体" w:cs="宋体"/>
          <w:b/>
          <w:color w:val="000000"/>
          <w:spacing w:val="-1"/>
          <w:kern w:val="0"/>
          <w:sz w:val="24"/>
          <w:szCs w:val="24"/>
        </w:rPr>
        <w:t>.合并范围</w:t>
      </w:r>
      <w:bookmarkEnd w:id="54"/>
      <w:bookmarkEnd w:id="55"/>
    </w:p>
    <w:tbl>
      <w:tblPr>
        <w:tblStyle w:val="33"/>
        <w:tblW w:w="9960" w:type="dxa"/>
        <w:jc w:val="center"/>
        <w:tblLayout w:type="fixed"/>
        <w:tblCellMar>
          <w:top w:w="0" w:type="dxa"/>
          <w:left w:w="0" w:type="dxa"/>
          <w:bottom w:w="0" w:type="dxa"/>
          <w:right w:w="0" w:type="dxa"/>
        </w:tblCellMar>
      </w:tblPr>
      <w:tblGrid>
        <w:gridCol w:w="1871"/>
        <w:gridCol w:w="3910"/>
        <w:gridCol w:w="2230"/>
        <w:gridCol w:w="1949"/>
      </w:tblGrid>
      <w:tr>
        <w:tblPrEx>
          <w:tblCellMar>
            <w:top w:w="0" w:type="dxa"/>
            <w:left w:w="0" w:type="dxa"/>
            <w:bottom w:w="0" w:type="dxa"/>
            <w:right w:w="0" w:type="dxa"/>
          </w:tblCellMar>
        </w:tblPrEx>
        <w:trPr>
          <w:trHeight w:val="397" w:hRule="atLeast"/>
          <w:jc w:val="center"/>
        </w:trPr>
        <w:tc>
          <w:tcPr>
            <w:tcW w:w="9960" w:type="dxa"/>
            <w:gridSpan w:val="4"/>
            <w:tcBorders>
              <w:top w:val="nil"/>
              <w:left w:val="nil"/>
              <w:bottom w:val="single" w:color="auto" w:sz="12" w:space="0"/>
              <w:right w:val="nil"/>
            </w:tcBorders>
            <w:shd w:val="clear" w:color="FFFFFF" w:fill="FFFFFF"/>
            <w:vAlign w:val="center"/>
          </w:tcPr>
          <w:p>
            <w:pPr>
              <w:pStyle w:val="143"/>
              <w:spacing w:line="260" w:lineRule="exact"/>
              <w:ind w:left="240" w:right="240"/>
              <w:jc w:val="center"/>
              <w:rPr>
                <w:rFonts w:ascii="宋体" w:hAnsi="宋体" w:eastAsia="宋体" w:cs="宋体"/>
                <w:b/>
                <w:bCs/>
                <w:sz w:val="24"/>
                <w:szCs w:val="24"/>
                <w:lang w:eastAsia="zh-CN"/>
              </w:rPr>
            </w:pPr>
            <w:r>
              <w:rPr>
                <w:rFonts w:hint="eastAsia" w:ascii="宋体" w:hAnsi="宋体" w:eastAsia="宋体"/>
                <w:sz w:val="24"/>
                <w:szCs w:val="24"/>
                <w:lang w:eastAsia="zh-CN"/>
              </w:rPr>
              <w:t>2021</w:t>
            </w:r>
            <w:r>
              <w:rPr>
                <w:rFonts w:ascii="宋体" w:hAnsi="宋体" w:eastAsia="宋体" w:cs="宋体"/>
                <w:b/>
                <w:bCs/>
                <w:sz w:val="24"/>
                <w:szCs w:val="24"/>
                <w:lang w:eastAsia="zh-CN"/>
              </w:rPr>
              <w:t>年度部门</w:t>
            </w:r>
            <w:r>
              <w:rPr>
                <w:rFonts w:hint="eastAsia" w:ascii="宋体" w:hAnsi="宋体" w:eastAsia="宋体" w:cs="宋体"/>
                <w:b/>
                <w:bCs/>
                <w:sz w:val="24"/>
                <w:szCs w:val="24"/>
                <w:lang w:eastAsia="zh-CN"/>
              </w:rPr>
              <w:t>报告合并范围</w:t>
            </w:r>
          </w:p>
        </w:tc>
      </w:tr>
      <w:tr>
        <w:tblPrEx>
          <w:tblCellMar>
            <w:top w:w="0" w:type="dxa"/>
            <w:left w:w="0" w:type="dxa"/>
            <w:bottom w:w="0" w:type="dxa"/>
            <w:right w:w="0" w:type="dxa"/>
          </w:tblCellMar>
        </w:tblPrEx>
        <w:trPr>
          <w:trHeight w:val="397" w:hRule="atLeast"/>
          <w:jc w:val="center"/>
        </w:trPr>
        <w:tc>
          <w:tcPr>
            <w:tcW w:w="1871" w:type="dxa"/>
            <w:tcBorders>
              <w:top w:val="single" w:color="auto" w:sz="12" w:space="0"/>
              <w:left w:val="nil"/>
              <w:bottom w:val="single" w:color="auto" w:sz="4" w:space="0"/>
              <w:right w:val="nil"/>
            </w:tcBorders>
            <w:shd w:val="clear" w:color="FFFFFF" w:fill="FFFFFF"/>
            <w:vAlign w:val="center"/>
          </w:tcPr>
          <w:p>
            <w:pPr>
              <w:pStyle w:val="143"/>
              <w:spacing w:before="40"/>
              <w:ind w:left="240" w:right="240"/>
              <w:jc w:val="center"/>
              <w:rPr>
                <w:rFonts w:ascii="宋体" w:hAnsi="宋体" w:eastAsia="宋体" w:cs="宋体"/>
              </w:rPr>
            </w:pPr>
            <w:r>
              <w:rPr>
                <w:rFonts w:ascii="宋体" w:hAnsi="宋体" w:eastAsia="宋体" w:cs="宋体"/>
                <w:b/>
                <w:bCs/>
              </w:rPr>
              <w:t>序号</w:t>
            </w:r>
          </w:p>
        </w:tc>
        <w:tc>
          <w:tcPr>
            <w:tcW w:w="3910" w:type="dxa"/>
            <w:tcBorders>
              <w:top w:val="single" w:color="auto" w:sz="12" w:space="0"/>
              <w:left w:val="nil"/>
              <w:bottom w:val="single" w:color="auto" w:sz="4" w:space="0"/>
              <w:right w:val="nil"/>
            </w:tcBorders>
            <w:shd w:val="clear" w:color="FFFFFF" w:fill="FFFFFF"/>
            <w:vAlign w:val="center"/>
          </w:tcPr>
          <w:p>
            <w:pPr>
              <w:pStyle w:val="143"/>
              <w:spacing w:before="40"/>
              <w:ind w:left="240" w:right="240"/>
              <w:jc w:val="center"/>
              <w:rPr>
                <w:rFonts w:ascii="宋体" w:hAnsi="宋体" w:eastAsia="宋体" w:cs="宋体"/>
              </w:rPr>
            </w:pPr>
            <w:r>
              <w:rPr>
                <w:rFonts w:hint="eastAsia" w:ascii="宋体" w:hAnsi="宋体" w:eastAsia="宋体" w:cs="宋体"/>
                <w:b/>
                <w:bCs/>
              </w:rPr>
              <w:t>单位名称</w:t>
            </w:r>
          </w:p>
        </w:tc>
        <w:tc>
          <w:tcPr>
            <w:tcW w:w="2230" w:type="dxa"/>
            <w:tcBorders>
              <w:top w:val="single" w:color="auto" w:sz="12" w:space="0"/>
              <w:left w:val="nil"/>
              <w:bottom w:val="single" w:color="auto" w:sz="4" w:space="0"/>
              <w:right w:val="nil"/>
            </w:tcBorders>
            <w:shd w:val="clear" w:color="FFFFFF" w:fill="FFFFFF"/>
            <w:vAlign w:val="center"/>
          </w:tcPr>
          <w:p>
            <w:pPr>
              <w:pStyle w:val="143"/>
              <w:spacing w:before="40"/>
              <w:ind w:left="240" w:right="240"/>
              <w:jc w:val="center"/>
              <w:rPr>
                <w:rFonts w:ascii="宋体" w:hAnsi="宋体" w:eastAsia="宋体" w:cs="宋体"/>
                <w:b/>
                <w:bCs/>
                <w:lang w:eastAsia="zh-CN"/>
              </w:rPr>
            </w:pPr>
            <w:r>
              <w:rPr>
                <w:rFonts w:hint="eastAsia" w:ascii="宋体" w:hAnsi="宋体" w:eastAsia="宋体" w:cs="宋体"/>
                <w:b/>
                <w:bCs/>
                <w:lang w:eastAsia="zh-CN"/>
              </w:rPr>
              <w:t>单位性质</w:t>
            </w:r>
          </w:p>
        </w:tc>
        <w:tc>
          <w:tcPr>
            <w:tcW w:w="1949" w:type="dxa"/>
            <w:tcBorders>
              <w:top w:val="single" w:color="auto" w:sz="12" w:space="0"/>
              <w:left w:val="nil"/>
              <w:bottom w:val="single" w:color="auto" w:sz="4" w:space="0"/>
              <w:right w:val="nil"/>
            </w:tcBorders>
            <w:shd w:val="clear" w:color="FFFFFF" w:fill="FFFFFF"/>
            <w:vAlign w:val="center"/>
          </w:tcPr>
          <w:p>
            <w:pPr>
              <w:pStyle w:val="143"/>
              <w:spacing w:before="40"/>
              <w:ind w:left="240" w:right="240"/>
              <w:jc w:val="center"/>
              <w:rPr>
                <w:rFonts w:ascii="宋体" w:hAnsi="宋体" w:eastAsia="宋体" w:cs="宋体"/>
              </w:rPr>
            </w:pPr>
            <w:r>
              <w:rPr>
                <w:rFonts w:hint="eastAsia" w:ascii="宋体" w:hAnsi="宋体" w:eastAsia="宋体" w:cs="宋体"/>
                <w:b/>
                <w:bCs/>
              </w:rPr>
              <w:t>实有人数</w:t>
            </w:r>
          </w:p>
        </w:tc>
      </w:tr>
      <w:tr>
        <w:tblPrEx>
          <w:tblCellMar>
            <w:top w:w="0" w:type="dxa"/>
            <w:left w:w="0" w:type="dxa"/>
            <w:bottom w:w="0" w:type="dxa"/>
            <w:right w:w="0" w:type="dxa"/>
          </w:tblCellMar>
        </w:tblPrEx>
        <w:trPr>
          <w:trHeight w:val="23" w:hRule="exact"/>
          <w:jc w:val="center"/>
        </w:trPr>
        <w:tc>
          <w:tcPr>
            <w:tcW w:w="1871" w:type="dxa"/>
            <w:tcBorders>
              <w:top w:val="single" w:color="auto" w:sz="4" w:space="0"/>
              <w:left w:val="nil"/>
              <w:bottom w:val="nil"/>
              <w:right w:val="nil"/>
            </w:tcBorders>
            <w:shd w:val="clear" w:color="FFFFFF" w:fill="FFFFFF"/>
          </w:tcPr>
          <w:p>
            <w:pPr>
              <w:pStyle w:val="143"/>
              <w:spacing w:before="40"/>
              <w:ind w:left="240" w:right="240"/>
              <w:rPr>
                <w:rFonts w:ascii="宋体" w:hAnsi="宋体" w:eastAsia="宋体" w:cs="宋体"/>
                <w:b/>
                <w:bCs/>
              </w:rPr>
            </w:pPr>
          </w:p>
        </w:tc>
        <w:tc>
          <w:tcPr>
            <w:tcW w:w="3910" w:type="dxa"/>
            <w:tcBorders>
              <w:top w:val="single" w:color="auto" w:sz="4" w:space="0"/>
              <w:left w:val="nil"/>
              <w:bottom w:val="nil"/>
              <w:right w:val="single" w:color="auto" w:sz="4" w:space="0"/>
            </w:tcBorders>
            <w:shd w:val="clear" w:color="FFFFFF" w:fill="FFFFFF"/>
          </w:tcPr>
          <w:p>
            <w:pPr>
              <w:pStyle w:val="143"/>
              <w:spacing w:before="40"/>
              <w:ind w:left="240" w:right="240"/>
              <w:rPr>
                <w:rFonts w:ascii="宋体" w:hAnsi="宋体" w:eastAsia="宋体" w:cs="宋体"/>
                <w:b/>
                <w:bCs/>
              </w:rPr>
            </w:pPr>
          </w:p>
        </w:tc>
        <w:tc>
          <w:tcPr>
            <w:tcW w:w="2230" w:type="dxa"/>
            <w:tcBorders>
              <w:top w:val="single" w:color="auto" w:sz="4" w:space="0"/>
              <w:left w:val="single" w:color="auto" w:sz="4" w:space="0"/>
              <w:bottom w:val="nil"/>
              <w:right w:val="nil"/>
            </w:tcBorders>
            <w:shd w:val="clear" w:color="FFFFFF" w:fill="FFFFFF"/>
          </w:tcPr>
          <w:p>
            <w:pPr>
              <w:pStyle w:val="143"/>
              <w:spacing w:before="40"/>
              <w:ind w:left="240" w:right="240"/>
              <w:rPr>
                <w:rFonts w:ascii="宋体" w:hAnsi="宋体" w:eastAsia="宋体" w:cs="宋体"/>
                <w:b/>
                <w:bCs/>
              </w:rPr>
            </w:pPr>
          </w:p>
        </w:tc>
        <w:tc>
          <w:tcPr>
            <w:tcW w:w="1949" w:type="dxa"/>
            <w:tcBorders>
              <w:top w:val="single" w:color="auto" w:sz="4" w:space="0"/>
              <w:left w:val="nil"/>
              <w:bottom w:val="nil"/>
              <w:right w:val="nil"/>
            </w:tcBorders>
            <w:shd w:val="clear" w:color="FFFFFF" w:fill="FFFFFF"/>
          </w:tcPr>
          <w:p>
            <w:pPr>
              <w:pStyle w:val="143"/>
              <w:spacing w:before="40"/>
              <w:ind w:left="240" w:right="240"/>
              <w:rPr>
                <w:rFonts w:ascii="宋体" w:hAnsi="宋体" w:eastAsia="宋体" w:cs="宋体"/>
                <w:b/>
                <w:bCs/>
              </w:rPr>
            </w:pPr>
          </w:p>
        </w:tc>
      </w:tr>
      <w:tr>
        <w:tblPrEx>
          <w:tblCellMar>
            <w:top w:w="0" w:type="dxa"/>
            <w:left w:w="0" w:type="dxa"/>
            <w:bottom w:w="0" w:type="dxa"/>
            <w:right w:w="0" w:type="dxa"/>
          </w:tblCellMar>
        </w:tblPrEx>
        <w:trPr>
          <w:trHeight w:val="397" w:hRule="atLeast"/>
          <w:jc w:val="center"/>
        </w:trPr>
        <w:tc>
          <w:tcPr>
            <w:tcW w:w="1871" w:type="dxa"/>
            <w:tcBorders>
              <w:top w:val="nil"/>
              <w:left w:val="nil"/>
              <w:bottom w:val="nil"/>
              <w:right w:val="nil"/>
            </w:tcBorders>
            <w:shd w:val="clear" w:color="FFFFFF" w:fill="FFFFFF"/>
          </w:tcPr>
          <w:p>
            <w:pPr>
              <w:pageBreakBefore w:val="0"/>
              <w:ind w:left="240" w:right="240"/>
              <w:jc w:val="center"/>
              <w:textAlignment w:val="auto"/>
            </w:pPr>
            <w:r>
              <w:rPr>
                <w:rFonts w:ascii="Times New Roman" w:hAnsi="Times New Roman" w:eastAsia="Times New Roman" w:cs="Times New Roman"/>
                <w:b w:val="0"/>
                <w:i w:val="0"/>
                <w:color w:val="auto"/>
                <w:position w:val="-1"/>
                <w:u w:val="none"/>
              </w:rPr>
              <w:t>1</w:t>
            </w:r>
          </w:p>
        </w:tc>
        <w:tc>
          <w:tcPr>
            <w:tcW w:w="3910" w:type="dxa"/>
            <w:tcBorders>
              <w:top w:val="nil"/>
              <w:left w:val="nil"/>
              <w:bottom w:val="nil"/>
              <w:right w:val="nil"/>
            </w:tcBorders>
            <w:shd w:val="clear" w:color="FFFFFF" w:fill="FFFFFF"/>
          </w:tcPr>
          <w:p>
            <w:pPr>
              <w:pageBreakBefore w:val="0"/>
              <w:ind w:left="240" w:right="148"/>
              <w:jc w:val="center"/>
              <w:textAlignment w:val="auto"/>
            </w:pPr>
            <w:r>
              <w:rPr>
                <w:rFonts w:ascii="Times New Roman" w:hAnsi="Times New Roman" w:eastAsia="Times New Roman" w:cs="Times New Roman"/>
                <w:b w:val="0"/>
                <w:i w:val="0"/>
                <w:color w:val="auto"/>
                <w:position w:val="-1"/>
                <w:u w:val="none"/>
              </w:rPr>
              <w:t>内蒙古自治区通辽市奈曼旗委员会机构编制委员会办公室</w:t>
            </w:r>
          </w:p>
        </w:tc>
        <w:tc>
          <w:tcPr>
            <w:tcW w:w="2230" w:type="dxa"/>
            <w:tcBorders>
              <w:top w:val="nil"/>
              <w:left w:val="nil"/>
              <w:bottom w:val="nil"/>
              <w:right w:val="nil"/>
            </w:tcBorders>
            <w:shd w:val="clear" w:color="FFFFFF" w:fill="FFFFFF"/>
          </w:tcPr>
          <w:p>
            <w:pPr>
              <w:pageBreakBefore w:val="0"/>
              <w:ind w:left="240" w:right="240"/>
              <w:jc w:val="center"/>
              <w:textAlignment w:val="auto"/>
            </w:pPr>
            <w:r>
              <w:rPr>
                <w:rFonts w:ascii="Times New Roman" w:hAnsi="Times New Roman" w:eastAsia="Times New Roman" w:cs="Times New Roman"/>
                <w:b w:val="0"/>
                <w:i w:val="0"/>
                <w:color w:val="auto"/>
                <w:position w:val="-1"/>
                <w:u w:val="none"/>
              </w:rPr>
              <w:t>行政单位</w:t>
            </w:r>
          </w:p>
        </w:tc>
        <w:tc>
          <w:tcPr>
            <w:tcW w:w="1949" w:type="dxa"/>
            <w:tcBorders>
              <w:top w:val="nil"/>
              <w:left w:val="nil"/>
              <w:bottom w:val="nil"/>
              <w:right w:val="nil"/>
            </w:tcBorders>
            <w:shd w:val="clear" w:color="FFFFFF" w:fill="FFFFFF"/>
          </w:tcPr>
          <w:p>
            <w:pPr>
              <w:pageBreakBefore w:val="0"/>
              <w:ind w:left="26" w:leftChars="12" w:right="95" w:rightChars="43" w:firstLine="2" w:firstLineChars="1"/>
              <w:jc w:val="center"/>
              <w:textAlignment w:val="auto"/>
            </w:pPr>
            <w:r>
              <w:rPr>
                <w:rFonts w:ascii="Times New Roman" w:hAnsi="Times New Roman" w:eastAsia="Times New Roman" w:cs="Times New Roman"/>
                <w:b w:val="0"/>
                <w:i w:val="0"/>
                <w:color w:val="auto"/>
                <w:position w:val="-1"/>
                <w:u w:val="none"/>
              </w:rPr>
              <w:t>12</w:t>
            </w:r>
          </w:p>
        </w:tc>
      </w:tr>
      <w:tr>
        <w:tblPrEx>
          <w:tblCellMar>
            <w:top w:w="0" w:type="dxa"/>
            <w:left w:w="0" w:type="dxa"/>
            <w:bottom w:w="0" w:type="dxa"/>
            <w:right w:w="0" w:type="dxa"/>
          </w:tblCellMar>
        </w:tblPrEx>
        <w:trPr>
          <w:trHeight w:val="455" w:hRule="atLeast"/>
          <w:jc w:val="center"/>
        </w:trPr>
        <w:tc>
          <w:tcPr>
            <w:tcW w:w="1871" w:type="dxa"/>
            <w:tcBorders>
              <w:top w:val="single" w:color="auto" w:sz="4" w:space="0"/>
              <w:left w:val="nil"/>
              <w:bottom w:val="single" w:color="auto" w:sz="12" w:space="0"/>
              <w:right w:val="nil"/>
            </w:tcBorders>
            <w:shd w:val="clear" w:color="FFFFFF" w:fill="FFFFFF"/>
          </w:tcPr>
          <w:p>
            <w:pPr>
              <w:pageBreakBefore w:val="0"/>
              <w:ind w:left="240" w:right="240"/>
              <w:jc w:val="center"/>
              <w:textAlignment w:val="auto"/>
            </w:pPr>
            <w:r>
              <w:rPr>
                <w:rFonts w:ascii="Times New Roman" w:hAnsi="Times New Roman" w:eastAsia="Times New Roman" w:cs="Times New Roman"/>
                <w:b w:val="0"/>
                <w:i w:val="0"/>
                <w:color w:val="auto"/>
                <w:position w:val="-1"/>
                <w:u w:val="none"/>
              </w:rPr>
              <w:t>合计</w:t>
            </w:r>
          </w:p>
        </w:tc>
        <w:tc>
          <w:tcPr>
            <w:tcW w:w="3910" w:type="dxa"/>
            <w:tcBorders>
              <w:top w:val="single" w:color="auto" w:sz="4" w:space="0"/>
              <w:left w:val="nil"/>
              <w:bottom w:val="single" w:color="auto" w:sz="12" w:space="0"/>
              <w:right w:val="nil"/>
            </w:tcBorders>
            <w:shd w:val="clear" w:color="FFFFFF" w:fill="FFFFFF"/>
          </w:tcPr>
          <w:p>
            <w:pPr>
              <w:pageBreakBefore w:val="0"/>
              <w:ind w:left="240" w:right="148"/>
              <w:jc w:val="center"/>
              <w:textAlignment w:val="auto"/>
            </w:pPr>
          </w:p>
        </w:tc>
        <w:tc>
          <w:tcPr>
            <w:tcW w:w="2230" w:type="dxa"/>
            <w:tcBorders>
              <w:top w:val="single" w:color="auto" w:sz="4" w:space="0"/>
              <w:left w:val="nil"/>
              <w:bottom w:val="single" w:color="auto" w:sz="12" w:space="0"/>
              <w:right w:val="nil"/>
            </w:tcBorders>
            <w:shd w:val="clear" w:color="FFFFFF" w:fill="FFFFFF"/>
          </w:tcPr>
          <w:p>
            <w:pPr>
              <w:pageBreakBefore w:val="0"/>
              <w:ind w:left="240" w:right="240"/>
              <w:jc w:val="center"/>
              <w:textAlignment w:val="auto"/>
            </w:pPr>
          </w:p>
        </w:tc>
        <w:tc>
          <w:tcPr>
            <w:tcW w:w="1949" w:type="dxa"/>
            <w:tcBorders>
              <w:top w:val="single" w:color="auto" w:sz="4" w:space="0"/>
              <w:left w:val="nil"/>
              <w:bottom w:val="single" w:color="auto" w:sz="12" w:space="0"/>
              <w:right w:val="nil"/>
            </w:tcBorders>
            <w:shd w:val="clear" w:color="FFFFFF" w:fill="FFFFFF"/>
          </w:tcPr>
          <w:p>
            <w:pPr>
              <w:pageBreakBefore w:val="0"/>
              <w:ind w:left="26" w:leftChars="12" w:right="95" w:rightChars="43" w:firstLine="2" w:firstLineChars="1"/>
              <w:jc w:val="center"/>
              <w:textAlignment w:val="auto"/>
            </w:pPr>
            <w:r>
              <w:rPr>
                <w:rFonts w:ascii="Times New Roman" w:hAnsi="Times New Roman" w:eastAsia="Times New Roman" w:cs="Times New Roman"/>
                <w:b w:val="0"/>
                <w:i w:val="0"/>
                <w:color w:val="auto"/>
                <w:position w:val="-1"/>
                <w:u w:val="none"/>
              </w:rPr>
              <w:t>12</w:t>
            </w:r>
          </w:p>
        </w:tc>
      </w:tr>
    </w:tbl>
    <w:p>
      <w:pPr>
        <w:spacing w:line="360" w:lineRule="auto"/>
        <w:ind w:right="176" w:rightChars="80" w:firstLine="480" w:firstLineChars="200"/>
        <w:rPr>
          <w:rFonts w:eastAsia="宋体" w:cs="仿宋_GB2312"/>
          <w:color w:val="00B0F0"/>
          <w:kern w:val="16"/>
          <w:sz w:val="24"/>
        </w:rPr>
      </w:pPr>
    </w:p>
    <w:p>
      <w:pPr>
        <w:spacing w:line="360" w:lineRule="auto"/>
        <w:ind w:right="240" w:firstLine="480" w:firstLineChars="200"/>
        <w:rPr>
          <w:rFonts w:hint="eastAsia" w:eastAsia="宋体"/>
          <w:sz w:val="24"/>
          <w:lang w:val="en-US" w:eastAsia="zh-CN"/>
        </w:rPr>
      </w:pPr>
      <w:r>
        <w:rPr>
          <w:rFonts w:hint="eastAsia" w:eastAsia="宋体"/>
          <w:sz w:val="24"/>
          <w:lang w:val="en-US" w:eastAsia="zh-CN"/>
        </w:rPr>
        <w:t>中共奈曼旗委员会机构编制委员会办公室属于行政单位，与上年相比合并范围无变化，单位实有人数12人，与上年相比减少1人，是由于5月份我办一名工作人员提拔，调出我单位，合并范围较上年度发生变化。</w:t>
      </w:r>
    </w:p>
    <w:p>
      <w:pPr>
        <w:spacing w:line="360" w:lineRule="auto"/>
        <w:ind w:right="176" w:rightChars="80" w:firstLine="480" w:firstLineChars="200"/>
        <w:rPr>
          <w:rFonts w:eastAsia="宋体" w:cs="仿宋_GB2312"/>
          <w:color w:val="00B0F0"/>
          <w:kern w:val="16"/>
          <w:sz w:val="24"/>
        </w:rPr>
      </w:pPr>
    </w:p>
    <w:p>
      <w:pPr>
        <w:pStyle w:val="4"/>
        <w:spacing w:before="0" w:after="0" w:line="360" w:lineRule="auto"/>
        <w:ind w:left="454" w:leftChars="200" w:hanging="14" w:hangingChars="6"/>
        <w:jc w:val="left"/>
        <w:rPr>
          <w:rFonts w:ascii="宋体" w:hAnsi="宋体" w:eastAsia="宋体" w:cs="宋体"/>
          <w:b/>
          <w:color w:val="000000"/>
          <w:spacing w:val="-1"/>
          <w:kern w:val="0"/>
          <w:sz w:val="24"/>
          <w:szCs w:val="24"/>
        </w:rPr>
      </w:pPr>
      <w:bookmarkStart w:id="56" w:name="4.重要会计政策与会计估计变更情况。（略）"/>
      <w:bookmarkEnd w:id="56"/>
      <w:bookmarkStart w:id="57" w:name="_Toc35452584"/>
      <w:bookmarkStart w:id="58" w:name="_Toc35500810"/>
      <w:r>
        <w:rPr>
          <w:rFonts w:ascii="宋体" w:hAnsi="宋体" w:eastAsia="宋体" w:cs="宋体"/>
          <w:b/>
          <w:color w:val="000000"/>
          <w:spacing w:val="-1"/>
          <w:kern w:val="0"/>
          <w:sz w:val="24"/>
          <w:szCs w:val="24"/>
        </w:rPr>
        <w:t>4.重要会计政策与会计估计变更情况</w:t>
      </w:r>
      <w:bookmarkEnd w:id="57"/>
      <w:bookmarkEnd w:id="58"/>
    </w:p>
    <w:p>
      <w:pPr>
        <w:spacing w:line="360" w:lineRule="auto"/>
        <w:ind w:right="240" w:firstLine="480" w:firstLineChars="200"/>
        <w:rPr>
          <w:rFonts w:hint="default" w:eastAsia="宋体"/>
          <w:sz w:val="24"/>
          <w:lang w:val="en-US" w:eastAsia="zh-CN"/>
        </w:rPr>
      </w:pPr>
      <w:r>
        <w:rPr>
          <w:rFonts w:hint="eastAsia" w:eastAsia="宋体"/>
          <w:sz w:val="24"/>
          <w:lang w:val="en-US" w:eastAsia="zh-CN"/>
        </w:rPr>
        <w:t>（1）会计期间：2021年1月1日-2021年12月31日。</w:t>
      </w:r>
    </w:p>
    <w:p>
      <w:pPr>
        <w:spacing w:line="360" w:lineRule="auto"/>
        <w:ind w:right="240" w:firstLine="480" w:firstLineChars="200"/>
        <w:rPr>
          <w:rFonts w:hint="eastAsia" w:eastAsia="宋体"/>
          <w:sz w:val="24"/>
          <w:lang w:val="en-US" w:eastAsia="zh-CN"/>
        </w:rPr>
      </w:pPr>
      <w:r>
        <w:rPr>
          <w:rFonts w:hint="eastAsia" w:eastAsia="宋体"/>
          <w:sz w:val="24"/>
          <w:lang w:val="en-US" w:eastAsia="zh-CN"/>
        </w:rPr>
        <w:t>（2）记账本位币为人民币</w:t>
      </w:r>
    </w:p>
    <w:p>
      <w:pPr>
        <w:spacing w:line="360" w:lineRule="auto"/>
        <w:ind w:right="240" w:firstLine="480" w:firstLineChars="200"/>
        <w:rPr>
          <w:rFonts w:hint="eastAsia" w:eastAsia="宋体"/>
          <w:sz w:val="24"/>
          <w:lang w:val="en-US" w:eastAsia="zh-CN"/>
        </w:rPr>
        <w:sectPr>
          <w:headerReference r:id="rId6" w:type="first"/>
          <w:footerReference r:id="rId8" w:type="first"/>
          <w:headerReference r:id="rId5" w:type="default"/>
          <w:footerReference r:id="rId7" w:type="default"/>
          <w:pgSz w:w="11906" w:h="16838"/>
          <w:pgMar w:top="1440" w:right="1083" w:bottom="1440" w:left="1083" w:header="0" w:footer="720" w:gutter="0"/>
          <w:pgNumType w:start="1"/>
          <w:cols w:space="720" w:num="1"/>
          <w:docGrid w:type="lines" w:linePitch="326" w:charSpace="0"/>
        </w:sectPr>
      </w:pPr>
      <w:r>
        <w:rPr>
          <w:rFonts w:hint="eastAsia" w:eastAsia="宋体"/>
          <w:sz w:val="24"/>
          <w:lang w:val="en-US" w:eastAsia="zh-CN"/>
        </w:rPr>
        <w:t>（3）我单位本年没有重要会计政策和会计估计变更。</w:t>
      </w:r>
    </w:p>
    <w:bookmarkEnd w:id="46"/>
    <w:p>
      <w:pPr>
        <w:pStyle w:val="4"/>
        <w:spacing w:before="0" w:after="0" w:line="360" w:lineRule="auto"/>
        <w:ind w:left="454" w:leftChars="200" w:hanging="14" w:hangingChars="6"/>
        <w:jc w:val="left"/>
        <w:rPr>
          <w:rFonts w:ascii="宋体" w:hAnsi="宋体" w:eastAsia="宋体" w:cs="宋体"/>
          <w:b/>
          <w:color w:val="000000"/>
          <w:spacing w:val="-1"/>
          <w:kern w:val="0"/>
          <w:sz w:val="24"/>
          <w:szCs w:val="24"/>
        </w:rPr>
      </w:pPr>
      <w:bookmarkStart w:id="59" w:name="_Toc333610277"/>
      <w:bookmarkStart w:id="60" w:name="_Toc435362073"/>
      <w:bookmarkStart w:id="61" w:name="_Toc435361955"/>
      <w:bookmarkStart w:id="62" w:name="_Toc435362300"/>
      <w:bookmarkStart w:id="63" w:name="_Toc35452585"/>
      <w:bookmarkStart w:id="64" w:name="_Toc435362498"/>
      <w:bookmarkStart w:id="65" w:name="_Toc35500811"/>
      <w:r>
        <w:rPr>
          <w:rFonts w:hint="eastAsia" w:ascii="宋体" w:hAnsi="宋体" w:eastAsia="宋体" w:cs="宋体"/>
          <w:b/>
          <w:color w:val="000000"/>
          <w:spacing w:val="-1"/>
          <w:kern w:val="0"/>
          <w:sz w:val="24"/>
          <w:szCs w:val="24"/>
        </w:rPr>
        <w:t>5.会计报表重要项目的明细信息</w:t>
      </w:r>
      <w:bookmarkEnd w:id="59"/>
      <w:r>
        <w:rPr>
          <w:rFonts w:hint="eastAsia" w:ascii="宋体" w:hAnsi="宋体" w:eastAsia="宋体" w:cs="宋体"/>
          <w:b/>
          <w:color w:val="000000"/>
          <w:spacing w:val="-1"/>
          <w:kern w:val="0"/>
          <w:sz w:val="24"/>
          <w:szCs w:val="24"/>
        </w:rPr>
        <w:t>及说明</w:t>
      </w:r>
      <w:bookmarkEnd w:id="60"/>
      <w:bookmarkEnd w:id="61"/>
      <w:bookmarkEnd w:id="62"/>
      <w:bookmarkEnd w:id="63"/>
      <w:bookmarkEnd w:id="64"/>
      <w:bookmarkEnd w:id="65"/>
      <w:r>
        <w:rPr>
          <w:rFonts w:ascii="宋体" w:hAnsi="宋体" w:eastAsia="宋体" w:cs="宋体"/>
          <w:b/>
          <w:color w:val="000000"/>
          <w:spacing w:val="-1"/>
          <w:kern w:val="0"/>
          <w:sz w:val="24"/>
          <w:szCs w:val="24"/>
        </w:rPr>
        <w:tab/>
      </w: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1</w:t>
      </w:r>
      <w:r>
        <w:rPr>
          <w:rFonts w:hint="eastAsia" w:ascii="宋体" w:hAnsi="宋体" w:eastAsia="宋体" w:cs="仿宋_GB2312"/>
          <w:sz w:val="24"/>
          <w:szCs w:val="24"/>
        </w:rPr>
        <w:t>）货币资金明细信息如下：</w:t>
      </w: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397" w:hRule="exact"/>
          <w:jc w:val="center"/>
        </w:trPr>
        <w:tc>
          <w:tcPr>
            <w:tcW w:w="9720" w:type="dxa"/>
            <w:tcBorders>
              <w:top w:val="nil"/>
              <w:left w:val="nil"/>
              <w:bottom w:val="nil"/>
              <w:right w:val="nil"/>
            </w:tcBorders>
            <w:shd w:val="clear" w:color="FFFFFF" w:fill="FFFFFF"/>
            <w:vAlign w:val="center"/>
          </w:tcPr>
          <w:p>
            <w:pPr>
              <w:widowControl w:val="0"/>
              <w:tabs>
                <w:tab w:val="left" w:pos="806"/>
              </w:tabs>
              <w:spacing w:line="218" w:lineRule="exact"/>
              <w:ind w:right="240"/>
              <w:rPr>
                <w:rFonts w:eastAsia="宋体"/>
                <w:color w:val="000000"/>
                <w:szCs w:val="22"/>
              </w:rPr>
            </w:pPr>
            <w:r>
              <w:rPr>
                <w:rFonts w:hint="eastAsia" w:eastAsia="宋体"/>
                <w:color w:val="000000"/>
                <w:szCs w:val="22"/>
              </w:rPr>
              <w:t>附表1</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9720" w:type="dxa"/>
            <w:tcBorders>
              <w:top w:val="nil"/>
              <w:left w:val="nil"/>
              <w:bottom w:val="nil"/>
              <w:right w:val="nil"/>
            </w:tcBorders>
            <w:shd w:val="clear" w:color="FFFFFF" w:fill="FFFFFF"/>
            <w:vAlign w:val="center"/>
          </w:tcPr>
          <w:p>
            <w:pPr>
              <w:ind w:left="240" w:right="240"/>
              <w:jc w:val="center"/>
              <w:rPr>
                <w:rFonts w:eastAsia="宋体"/>
                <w:b/>
                <w:bCs/>
                <w:sz w:val="24"/>
              </w:rPr>
            </w:pPr>
            <w:r>
              <w:rPr>
                <w:rFonts w:hint="eastAsia" w:eastAsia="宋体"/>
                <w:b/>
                <w:bCs/>
                <w:sz w:val="24"/>
              </w:rPr>
              <w:t>货币资金明细表</w:t>
            </w:r>
          </w:p>
        </w:tc>
      </w:tr>
      <w:tr>
        <w:tblPrEx>
          <w:tblCellMar>
            <w:top w:w="0" w:type="dxa"/>
            <w:left w:w="108" w:type="dxa"/>
            <w:bottom w:w="0" w:type="dxa"/>
            <w:right w:w="108" w:type="dxa"/>
          </w:tblCellMar>
        </w:tblPrEx>
        <w:trPr>
          <w:trHeight w:val="397" w:hRule="exact"/>
          <w:jc w:val="center"/>
        </w:trPr>
        <w:tc>
          <w:tcPr>
            <w:tcW w:w="9720" w:type="dxa"/>
            <w:tcBorders>
              <w:top w:val="nil"/>
              <w:left w:val="nil"/>
              <w:bottom w:val="nil"/>
              <w:right w:val="nil"/>
            </w:tcBorders>
            <w:shd w:val="clear" w:color="FFFFFF" w:fill="FFFFFF"/>
            <w:vAlign w:val="center"/>
          </w:tcPr>
          <w:p>
            <w:pPr>
              <w:ind w:left="240" w:right="40"/>
              <w:jc w:val="right"/>
              <w:rPr>
                <w:rFonts w:eastAsia="宋体"/>
                <w:b/>
                <w:bCs/>
                <w:szCs w:val="22"/>
              </w:rPr>
            </w:pPr>
            <w:r>
              <w:rPr>
                <w:rFonts w:hint="eastAsia" w:eastAsia="宋体"/>
                <w:szCs w:val="22"/>
              </w:rPr>
              <w:t>单位：万元</w:t>
            </w:r>
          </w:p>
        </w:tc>
      </w:tr>
    </w:tbl>
    <w:p>
      <w:pPr>
        <w:snapToGrid w:val="0"/>
        <w:spacing w:line="20" w:lineRule="exact"/>
        <w:ind w:left="240" w:right="240"/>
        <w:jc w:val="right"/>
        <w:rPr>
          <w:rFonts w:ascii="Arial" w:hAnsi="Arial" w:cs="Arial"/>
          <w:color w:val="000000"/>
          <w:sz w:val="20"/>
          <w:szCs w:val="20"/>
        </w:rPr>
      </w:pPr>
      <w:bookmarkStart w:id="66" w:name="RANGE!A1:D9"/>
      <w:bookmarkEnd w:id="66"/>
    </w:p>
    <w:tbl>
      <w:tblPr>
        <w:tblStyle w:val="33"/>
        <w:tblW w:w="9720" w:type="dxa"/>
        <w:jc w:val="center"/>
        <w:tblLayout w:type="fixed"/>
        <w:tblCellMar>
          <w:top w:w="0" w:type="dxa"/>
          <w:left w:w="108" w:type="dxa"/>
          <w:bottom w:w="0" w:type="dxa"/>
          <w:right w:w="108" w:type="dxa"/>
        </w:tblCellMar>
      </w:tblPr>
      <w:tblGrid>
        <w:gridCol w:w="4003"/>
        <w:gridCol w:w="2552"/>
        <w:gridCol w:w="3165"/>
      </w:tblGrid>
      <w:tr>
        <w:tblPrEx>
          <w:tblCellMar>
            <w:top w:w="0" w:type="dxa"/>
            <w:left w:w="108" w:type="dxa"/>
            <w:bottom w:w="0" w:type="dxa"/>
            <w:right w:w="108" w:type="dxa"/>
          </w:tblCellMar>
        </w:tblPrEx>
        <w:trPr>
          <w:trHeight w:val="397" w:hRule="exact"/>
          <w:tblHeader/>
          <w:jc w:val="center"/>
        </w:trPr>
        <w:tc>
          <w:tcPr>
            <w:tcW w:w="4003" w:type="dxa"/>
            <w:tcBorders>
              <w:top w:val="single" w:color="auto" w:sz="12" w:space="0"/>
              <w:left w:val="nil"/>
              <w:bottom w:val="single" w:color="auto" w:sz="4" w:space="0"/>
              <w:right w:val="nil"/>
            </w:tcBorders>
            <w:shd w:val="clear" w:color="FFFFFF" w:fill="FFFFFF"/>
            <w:vAlign w:val="center"/>
          </w:tcPr>
          <w:p>
            <w:pPr>
              <w:ind w:left="240" w:right="240"/>
              <w:jc w:val="center"/>
              <w:rPr>
                <w:rFonts w:eastAsia="宋体"/>
                <w:b/>
                <w:bCs/>
                <w:szCs w:val="22"/>
              </w:rPr>
            </w:pPr>
            <w:r>
              <w:rPr>
                <w:rFonts w:hint="eastAsia" w:eastAsia="宋体"/>
                <w:b/>
                <w:bCs/>
                <w:szCs w:val="22"/>
              </w:rPr>
              <w:t>项目</w:t>
            </w:r>
          </w:p>
        </w:tc>
        <w:tc>
          <w:tcPr>
            <w:tcW w:w="2552" w:type="dxa"/>
            <w:tcBorders>
              <w:top w:val="single" w:color="auto" w:sz="12" w:space="0"/>
              <w:left w:val="nil"/>
              <w:bottom w:val="single" w:color="auto" w:sz="4" w:space="0"/>
              <w:right w:val="nil"/>
            </w:tcBorders>
            <w:shd w:val="clear" w:color="FFFFFF" w:fill="FFFFFF"/>
            <w:vAlign w:val="center"/>
          </w:tcPr>
          <w:p>
            <w:pPr>
              <w:ind w:left="240" w:right="240"/>
              <w:jc w:val="center"/>
              <w:rPr>
                <w:rFonts w:eastAsia="宋体"/>
                <w:b/>
                <w:bCs/>
                <w:szCs w:val="22"/>
              </w:rPr>
            </w:pPr>
            <w:r>
              <w:rPr>
                <w:rFonts w:hint="eastAsia" w:eastAsia="宋体"/>
                <w:b/>
                <w:bCs/>
                <w:szCs w:val="22"/>
              </w:rPr>
              <w:t>年末数</w:t>
            </w:r>
          </w:p>
        </w:tc>
        <w:tc>
          <w:tcPr>
            <w:tcW w:w="3165" w:type="dxa"/>
            <w:tcBorders>
              <w:top w:val="single" w:color="auto" w:sz="12" w:space="0"/>
              <w:left w:val="nil"/>
              <w:bottom w:val="single" w:color="auto" w:sz="4" w:space="0"/>
              <w:right w:val="nil"/>
            </w:tcBorders>
            <w:shd w:val="clear" w:color="FFFFFF" w:fill="FFFFFF"/>
            <w:vAlign w:val="center"/>
          </w:tcPr>
          <w:p>
            <w:pPr>
              <w:ind w:left="240" w:right="240"/>
              <w:jc w:val="center"/>
              <w:rPr>
                <w:rFonts w:eastAsia="宋体"/>
                <w:b/>
                <w:bCs/>
                <w:szCs w:val="22"/>
              </w:rPr>
            </w:pPr>
            <w:r>
              <w:rPr>
                <w:rFonts w:hint="eastAsia" w:eastAsia="宋体"/>
                <w:b/>
                <w:bCs/>
                <w:szCs w:val="22"/>
              </w:rPr>
              <w:t>年初数</w:t>
            </w:r>
          </w:p>
        </w:tc>
      </w:tr>
      <w:tr>
        <w:tblPrEx>
          <w:tblCellMar>
            <w:top w:w="0" w:type="dxa"/>
            <w:left w:w="108" w:type="dxa"/>
            <w:bottom w:w="0" w:type="dxa"/>
            <w:right w:w="108" w:type="dxa"/>
          </w:tblCellMar>
        </w:tblPrEx>
        <w:trPr>
          <w:trHeight w:val="20" w:hRule="exact"/>
          <w:tblHeader/>
          <w:jc w:val="center"/>
        </w:trPr>
        <w:tc>
          <w:tcPr>
            <w:tcW w:w="4003" w:type="dxa"/>
            <w:tcBorders>
              <w:top w:val="single" w:color="auto" w:sz="4" w:space="0"/>
              <w:left w:val="nil"/>
              <w:right w:val="nil"/>
            </w:tcBorders>
            <w:shd w:val="clear" w:color="FFFFFF" w:fill="FFFFFF"/>
            <w:vAlign w:val="center"/>
          </w:tcPr>
          <w:p>
            <w:pPr>
              <w:ind w:left="240" w:right="240"/>
              <w:jc w:val="center"/>
              <w:rPr>
                <w:rFonts w:eastAsia="宋体"/>
                <w:b/>
                <w:bCs/>
                <w:szCs w:val="22"/>
              </w:rPr>
            </w:pPr>
          </w:p>
        </w:tc>
        <w:tc>
          <w:tcPr>
            <w:tcW w:w="2552" w:type="dxa"/>
            <w:tcBorders>
              <w:top w:val="single" w:color="auto" w:sz="4" w:space="0"/>
              <w:left w:val="nil"/>
              <w:right w:val="nil"/>
            </w:tcBorders>
            <w:shd w:val="clear" w:color="FFFFFF" w:fill="FFFFFF"/>
            <w:vAlign w:val="center"/>
          </w:tcPr>
          <w:p>
            <w:pPr>
              <w:ind w:left="240" w:right="240"/>
              <w:jc w:val="center"/>
              <w:rPr>
                <w:rFonts w:eastAsia="宋体"/>
                <w:b/>
                <w:bCs/>
                <w:szCs w:val="22"/>
              </w:rPr>
            </w:pPr>
          </w:p>
        </w:tc>
        <w:tc>
          <w:tcPr>
            <w:tcW w:w="3165" w:type="dxa"/>
            <w:tcBorders>
              <w:top w:val="single" w:color="auto" w:sz="4" w:space="0"/>
              <w:left w:val="nil"/>
              <w:right w:val="nil"/>
            </w:tcBorders>
            <w:shd w:val="clear" w:color="FFFFFF" w:fill="FFFFFF"/>
            <w:vAlign w:val="center"/>
          </w:tcPr>
          <w:p>
            <w:pPr>
              <w:ind w:left="240" w:right="240"/>
              <w:jc w:val="center"/>
              <w:rPr>
                <w:rFonts w:eastAsia="宋体"/>
                <w:b/>
                <w:bCs/>
                <w:szCs w:val="22"/>
              </w:rPr>
            </w:pPr>
          </w:p>
        </w:tc>
      </w:tr>
      <w:tr>
        <w:tblPrEx>
          <w:tblCellMar>
            <w:top w:w="0" w:type="dxa"/>
            <w:left w:w="108" w:type="dxa"/>
            <w:bottom w:w="0" w:type="dxa"/>
            <w:right w:w="108" w:type="dxa"/>
          </w:tblCellMar>
        </w:tblPrEx>
        <w:trPr>
          <w:trHeight w:val="20" w:hRule="exact"/>
          <w:tblHeader/>
          <w:jc w:val="center"/>
        </w:trPr>
        <w:tc>
          <w:tcPr>
            <w:tcW w:w="4003" w:type="dxa"/>
            <w:tcBorders>
              <w:left w:val="nil"/>
              <w:right w:val="nil"/>
            </w:tcBorders>
            <w:shd w:val="clear" w:color="FFFFFF" w:fill="FFFFFF"/>
            <w:vAlign w:val="center"/>
          </w:tcPr>
          <w:p>
            <w:pPr>
              <w:ind w:left="240" w:right="240"/>
              <w:jc w:val="center"/>
              <w:rPr>
                <w:rFonts w:eastAsia="宋体"/>
                <w:b/>
                <w:bCs/>
                <w:szCs w:val="22"/>
              </w:rPr>
            </w:pPr>
          </w:p>
        </w:tc>
        <w:tc>
          <w:tcPr>
            <w:tcW w:w="2552" w:type="dxa"/>
            <w:tcBorders>
              <w:left w:val="nil"/>
              <w:right w:val="nil"/>
            </w:tcBorders>
            <w:shd w:val="clear" w:color="FFFFFF" w:fill="FFFFFF"/>
            <w:vAlign w:val="center"/>
          </w:tcPr>
          <w:p>
            <w:pPr>
              <w:ind w:left="240" w:right="240"/>
              <w:jc w:val="center"/>
              <w:rPr>
                <w:rFonts w:eastAsia="宋体"/>
                <w:b/>
                <w:bCs/>
                <w:szCs w:val="22"/>
              </w:rPr>
            </w:pPr>
          </w:p>
        </w:tc>
        <w:tc>
          <w:tcPr>
            <w:tcW w:w="3165" w:type="dxa"/>
            <w:tcBorders>
              <w:left w:val="nil"/>
              <w:right w:val="nil"/>
            </w:tcBorders>
            <w:shd w:val="clear" w:color="FFFFFF" w:fill="FFFFFF"/>
            <w:vAlign w:val="center"/>
          </w:tcPr>
          <w:p>
            <w:pPr>
              <w:ind w:left="240" w:right="240"/>
              <w:jc w:val="center"/>
              <w:rPr>
                <w:rFonts w:eastAsia="宋体"/>
                <w:b/>
                <w:bCs/>
                <w:szCs w:val="22"/>
              </w:rPr>
            </w:pPr>
          </w:p>
        </w:tc>
      </w:tr>
      <w:tr>
        <w:tblPrEx>
          <w:tblCellMar>
            <w:top w:w="0" w:type="dxa"/>
            <w:left w:w="108" w:type="dxa"/>
            <w:bottom w:w="0" w:type="dxa"/>
            <w:right w:w="108" w:type="dxa"/>
          </w:tblCellMar>
        </w:tblPrEx>
        <w:trPr>
          <w:trHeight w:val="397" w:hRule="atLeast"/>
          <w:jc w:val="center"/>
        </w:trPr>
        <w:tc>
          <w:tcPr>
            <w:tcW w:w="4003" w:type="dxa"/>
            <w:tcBorders>
              <w:left w:val="nil"/>
              <w:bottom w:val="nil"/>
              <w:right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库存现金</w:t>
            </w:r>
          </w:p>
        </w:tc>
        <w:tc>
          <w:tcPr>
            <w:tcW w:w="2552" w:type="dxa"/>
            <w:tcBorders>
              <w:left w:val="nil"/>
              <w:bottom w:val="nil"/>
              <w:right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u w:val="none"/>
              </w:rPr>
              <w:t>0.01</w:t>
            </w:r>
          </w:p>
        </w:tc>
        <w:tc>
          <w:tcPr>
            <w:tcW w:w="3165" w:type="dxa"/>
            <w:tcBorders>
              <w:left w:val="nil"/>
              <w:bottom w:val="nil"/>
              <w:right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u w:val="none"/>
              </w:rPr>
              <w:t>0.01</w:t>
            </w:r>
          </w:p>
        </w:tc>
      </w:tr>
      <w:tr>
        <w:tblPrEx>
          <w:tblCellMar>
            <w:top w:w="0" w:type="dxa"/>
            <w:left w:w="108" w:type="dxa"/>
            <w:bottom w:w="0" w:type="dxa"/>
            <w:right w:w="108" w:type="dxa"/>
          </w:tblCellMar>
        </w:tblPrEx>
        <w:trPr>
          <w:trHeight w:val="397" w:hRule="atLeast"/>
          <w:jc w:val="center"/>
        </w:trPr>
        <w:tc>
          <w:tcPr>
            <w:tcW w:w="4003" w:type="dxa"/>
            <w:tcBorders>
              <w:left w:val="nil"/>
              <w:bottom w:val="nil"/>
              <w:right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银行存款</w:t>
            </w:r>
          </w:p>
        </w:tc>
        <w:tc>
          <w:tcPr>
            <w:tcW w:w="2552" w:type="dxa"/>
            <w:tcBorders>
              <w:left w:val="nil"/>
              <w:bottom w:val="nil"/>
              <w:right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u w:val="none"/>
              </w:rPr>
              <w:t>0.30</w:t>
            </w:r>
          </w:p>
        </w:tc>
        <w:tc>
          <w:tcPr>
            <w:tcW w:w="3165" w:type="dxa"/>
            <w:tcBorders>
              <w:left w:val="nil"/>
              <w:bottom w:val="nil"/>
              <w:right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u w:val="none"/>
              </w:rPr>
              <w:t>3.15</w:t>
            </w:r>
          </w:p>
        </w:tc>
      </w:tr>
      <w:tr>
        <w:tblPrEx>
          <w:tblCellMar>
            <w:top w:w="0" w:type="dxa"/>
            <w:left w:w="108" w:type="dxa"/>
            <w:bottom w:w="0" w:type="dxa"/>
            <w:right w:w="108" w:type="dxa"/>
          </w:tblCellMar>
        </w:tblPrEx>
        <w:trPr>
          <w:trHeight w:val="397" w:hRule="atLeast"/>
          <w:jc w:val="center"/>
        </w:trPr>
        <w:tc>
          <w:tcPr>
            <w:tcW w:w="4003" w:type="dxa"/>
            <w:tcBorders>
              <w:left w:val="nil"/>
              <w:bottom w:val="nil"/>
              <w:right w:val="nil"/>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其他货币资金</w:t>
            </w:r>
          </w:p>
        </w:tc>
        <w:tc>
          <w:tcPr>
            <w:tcW w:w="2552" w:type="dxa"/>
            <w:tcBorders>
              <w:left w:val="nil"/>
              <w:bottom w:val="nil"/>
              <w:right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u w:val="none"/>
              </w:rPr>
              <w:t>0.00</w:t>
            </w:r>
          </w:p>
        </w:tc>
        <w:tc>
          <w:tcPr>
            <w:tcW w:w="3165" w:type="dxa"/>
            <w:tcBorders>
              <w:left w:val="nil"/>
              <w:bottom w:val="nil"/>
              <w:right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455" w:hRule="atLeast"/>
          <w:jc w:val="center"/>
        </w:trPr>
        <w:tc>
          <w:tcPr>
            <w:tcW w:w="4003" w:type="dxa"/>
            <w:tcBorders>
              <w:top w:val="single" w:color="auto" w:sz="4" w:space="0"/>
              <w:left w:val="nil"/>
              <w:bottom w:val="single" w:color="auto" w:sz="12" w:space="0"/>
              <w:right w:val="nil"/>
            </w:tcBorders>
            <w:shd w:val="clear" w:color="FFFFFF" w:fill="FFFFFF"/>
            <w:vAlign w:val="center"/>
          </w:tcPr>
          <w:p>
            <w:pPr>
              <w:pageBreakBefore w:val="0"/>
              <w:ind w:right="240"/>
              <w:jc w:val="center"/>
              <w:textAlignment w:val="auto"/>
            </w:pPr>
            <w:r>
              <w:rPr>
                <w:rFonts w:ascii="Times New Roman" w:hAnsi="Times New Roman" w:eastAsia="Times New Roman" w:cs="Times New Roman"/>
                <w:b/>
                <w:i w:val="0"/>
                <w:color w:val="000000"/>
                <w:position w:val="-1"/>
                <w:u w:val="none"/>
              </w:rPr>
              <w:t>合计</w:t>
            </w:r>
          </w:p>
        </w:tc>
        <w:tc>
          <w:tcPr>
            <w:tcW w:w="2552" w:type="dxa"/>
            <w:tcBorders>
              <w:top w:val="single" w:color="auto" w:sz="4" w:space="0"/>
              <w:left w:val="nil"/>
              <w:bottom w:val="single" w:color="auto" w:sz="12" w:space="0"/>
              <w:right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u w:val="none"/>
              </w:rPr>
              <w:t>0.31</w:t>
            </w:r>
          </w:p>
        </w:tc>
        <w:tc>
          <w:tcPr>
            <w:tcW w:w="3165" w:type="dxa"/>
            <w:tcBorders>
              <w:top w:val="single" w:color="auto" w:sz="4" w:space="0"/>
              <w:left w:val="nil"/>
              <w:bottom w:val="single" w:color="auto" w:sz="12" w:space="0"/>
              <w:right w:val="nil"/>
            </w:tcBorders>
            <w:shd w:val="clear" w:color="FFFFFF" w:fill="FFFFFF"/>
            <w:vAlign w:val="center"/>
          </w:tcPr>
          <w:p>
            <w:pPr>
              <w:pageBreakBefore w:val="0"/>
              <w:ind w:left="240"/>
              <w:jc w:val="right"/>
              <w:textAlignment w:val="auto"/>
            </w:pPr>
            <w:r>
              <w:rPr>
                <w:rFonts w:ascii="Times New Roman" w:hAnsi="Times New Roman" w:eastAsia="Times New Roman" w:cs="Times New Roman"/>
                <w:b w:val="0"/>
                <w:i w:val="0"/>
                <w:color w:val="000000"/>
                <w:position w:val="-1"/>
                <w:u w:val="none"/>
              </w:rPr>
              <w:t>3.16</w:t>
            </w:r>
          </w:p>
        </w:tc>
      </w:tr>
    </w:tbl>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ascii="宋体" w:hAnsi="宋体" w:eastAsia="宋体" w:cs="仿宋_GB2312"/>
          <w:sz w:val="24"/>
          <w:szCs w:val="24"/>
        </w:rPr>
        <w:t>（2）应收票据明细信息如下：</w:t>
      </w: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794" w:hRule="exact"/>
          <w:jc w:val="center"/>
        </w:trPr>
        <w:tc>
          <w:tcPr>
            <w:tcW w:w="9720" w:type="dxa"/>
            <w:tcBorders>
              <w:top w:val="nil"/>
              <w:left w:val="nil"/>
              <w:bottom w:val="nil"/>
              <w:right w:val="nil"/>
            </w:tcBorders>
            <w:shd w:val="clear" w:color="FFFFFF" w:fill="FFFFFF"/>
            <w:vAlign w:val="center"/>
          </w:tcPr>
          <w:p>
            <w:pPr>
              <w:spacing w:after="101"/>
              <w:ind w:right="240"/>
              <w:rPr>
                <w:rFonts w:eastAsia="宋体"/>
                <w:szCs w:val="22"/>
              </w:rPr>
            </w:pPr>
            <w:r>
              <w:rPr>
                <w:rFonts w:hint="eastAsia" w:eastAsia="宋体"/>
                <w:color w:val="000000"/>
                <w:szCs w:val="22"/>
              </w:rPr>
              <w:t>附表</w:t>
            </w:r>
            <w:r>
              <w:rPr>
                <w:rFonts w:eastAsia="宋体"/>
                <w:color w:val="000000"/>
                <w:szCs w:val="22"/>
              </w:rPr>
              <w:t>2</w:t>
            </w:r>
          </w:p>
          <w:p>
            <w:pPr>
              <w:ind w:left="240" w:right="240"/>
              <w:jc w:val="center"/>
              <w:rPr>
                <w:rFonts w:eastAsia="宋体"/>
                <w:szCs w:val="22"/>
              </w:rPr>
            </w:pPr>
            <w:r>
              <w:rPr>
                <w:rFonts w:ascii="宋体" w:hAnsi="宋体" w:eastAsia="宋体" w:cs="宋体"/>
                <w:sz w:val="22"/>
              </w:rPr>
              <w:t>附表2为空表（略）</w:t>
            </w:r>
          </w:p>
        </w:tc>
      </w:tr>
    </w:tbl>
    <w:p>
      <w:pPr>
        <w:snapToGrid w:val="0"/>
        <w:spacing w:line="20" w:lineRule="exact"/>
        <w:ind w:left="240" w:right="240"/>
        <w:jc w:val="right"/>
        <w:rPr>
          <w:rFonts w:ascii="Arial" w:hAnsi="Arial" w:cs="Arial"/>
          <w:color w:val="000000"/>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3</w:t>
      </w:r>
      <w:r>
        <w:rPr>
          <w:rFonts w:hint="eastAsia" w:ascii="宋体" w:hAnsi="宋体" w:eastAsia="宋体" w:cs="仿宋_GB2312"/>
          <w:sz w:val="24"/>
          <w:szCs w:val="24"/>
        </w:rPr>
        <w:t>）应收账款净额明细信息如下：</w:t>
      </w: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794" w:hRule="exact"/>
          <w:jc w:val="center"/>
        </w:trPr>
        <w:tc>
          <w:tcPr>
            <w:tcW w:w="972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3</w:t>
            </w:r>
          </w:p>
          <w:p>
            <w:pPr>
              <w:ind w:left="240" w:right="240"/>
              <w:jc w:val="center"/>
              <w:rPr>
                <w:rFonts w:eastAsia="宋体"/>
                <w:szCs w:val="22"/>
              </w:rPr>
            </w:pPr>
            <w:r>
              <w:rPr>
                <w:rFonts w:ascii="宋体" w:hAnsi="宋体" w:eastAsia="宋体" w:cs="宋体"/>
                <w:sz w:val="22"/>
              </w:rPr>
              <w:t>附表3为空表（略）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4</w:t>
      </w:r>
      <w:r>
        <w:rPr>
          <w:rFonts w:hint="eastAsia" w:ascii="宋体" w:hAnsi="宋体" w:eastAsia="宋体" w:cs="仿宋_GB2312"/>
          <w:sz w:val="24"/>
          <w:szCs w:val="24"/>
        </w:rPr>
        <w:t>）预付账款明细信息如下：</w:t>
      </w:r>
    </w:p>
    <w:tbl>
      <w:tblPr>
        <w:tblStyle w:val="33"/>
        <w:tblW w:w="9524" w:type="dxa"/>
        <w:jc w:val="center"/>
        <w:tblLayout w:type="fixed"/>
        <w:tblCellMar>
          <w:top w:w="0" w:type="dxa"/>
          <w:left w:w="108" w:type="dxa"/>
          <w:bottom w:w="0" w:type="dxa"/>
          <w:right w:w="108" w:type="dxa"/>
        </w:tblCellMar>
      </w:tblPr>
      <w:tblGrid>
        <w:gridCol w:w="9524"/>
      </w:tblGrid>
      <w:tr>
        <w:tblPrEx>
          <w:tblCellMar>
            <w:top w:w="0" w:type="dxa"/>
            <w:left w:w="108" w:type="dxa"/>
            <w:bottom w:w="0" w:type="dxa"/>
            <w:right w:w="108" w:type="dxa"/>
          </w:tblCellMar>
        </w:tblPrEx>
        <w:trPr>
          <w:trHeight w:val="794" w:hRule="exact"/>
          <w:jc w:val="center"/>
        </w:trPr>
        <w:tc>
          <w:tcPr>
            <w:tcW w:w="9524"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4</w:t>
            </w:r>
          </w:p>
          <w:p>
            <w:pPr>
              <w:ind w:left="240" w:right="240"/>
              <w:jc w:val="center"/>
              <w:rPr>
                <w:rFonts w:eastAsia="宋体"/>
                <w:szCs w:val="22"/>
              </w:rPr>
            </w:pPr>
            <w:r>
              <w:rPr>
                <w:rFonts w:ascii="宋体" w:hAnsi="宋体" w:eastAsia="宋体" w:cs="宋体"/>
                <w:sz w:val="22"/>
              </w:rPr>
              <w:t>附表4为空表（略）</w:t>
            </w:r>
          </w:p>
        </w:tc>
      </w:tr>
    </w:tbl>
    <w:p>
      <w:pPr>
        <w:spacing w:line="20" w:lineRule="exact"/>
        <w:ind w:left="240" w:right="240"/>
        <w:jc w:val="right"/>
        <w:rPr>
          <w:color w:val="000000"/>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5</w:t>
      </w:r>
      <w:r>
        <w:rPr>
          <w:rFonts w:hint="eastAsia" w:ascii="宋体" w:hAnsi="宋体" w:eastAsia="宋体" w:cs="仿宋_GB2312"/>
          <w:sz w:val="24"/>
          <w:szCs w:val="24"/>
        </w:rPr>
        <w:t>）其他应收款净额明细信息如下：</w:t>
      </w:r>
    </w:p>
    <w:tbl>
      <w:tblPr>
        <w:tblStyle w:val="33"/>
        <w:tblW w:w="9781" w:type="dxa"/>
        <w:jc w:val="center"/>
        <w:tblLayout w:type="fixed"/>
        <w:tblCellMar>
          <w:top w:w="0" w:type="dxa"/>
          <w:left w:w="108" w:type="dxa"/>
          <w:bottom w:w="0" w:type="dxa"/>
          <w:right w:w="108" w:type="dxa"/>
        </w:tblCellMar>
      </w:tblPr>
      <w:tblGrid>
        <w:gridCol w:w="9781"/>
      </w:tblGrid>
      <w:tr>
        <w:tblPrEx>
          <w:tblCellMar>
            <w:top w:w="0" w:type="dxa"/>
            <w:left w:w="108" w:type="dxa"/>
            <w:bottom w:w="0" w:type="dxa"/>
            <w:right w:w="108" w:type="dxa"/>
          </w:tblCellMar>
        </w:tblPrEx>
        <w:trPr>
          <w:trHeight w:val="794" w:hRule="exact"/>
          <w:jc w:val="center"/>
        </w:trPr>
        <w:tc>
          <w:tcPr>
            <w:tcW w:w="9781"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5</w:t>
            </w:r>
          </w:p>
          <w:p>
            <w:pPr>
              <w:ind w:left="240" w:right="240"/>
              <w:jc w:val="center"/>
              <w:rPr>
                <w:rFonts w:eastAsia="宋体"/>
                <w:szCs w:val="22"/>
              </w:rPr>
            </w:pPr>
            <w:r>
              <w:rPr>
                <w:rFonts w:ascii="宋体" w:hAnsi="宋体" w:eastAsia="宋体" w:cs="宋体"/>
                <w:sz w:val="22"/>
              </w:rPr>
              <w:t>附表5为空表（略）</w:t>
            </w:r>
          </w:p>
        </w:tc>
      </w:tr>
    </w:tbl>
    <w:p>
      <w:pPr>
        <w:spacing w:line="20" w:lineRule="exact"/>
        <w:ind w:left="240" w:right="240"/>
        <w:rPr>
          <w:color w:val="000000"/>
          <w:sz w:val="20"/>
          <w:szCs w:val="20"/>
        </w:rPr>
      </w:pPr>
    </w:p>
    <w:p>
      <w:pPr>
        <w:spacing w:line="360" w:lineRule="auto"/>
        <w:ind w:left="240" w:right="240" w:firstLine="480" w:firstLineChars="200"/>
        <w:rPr>
          <w:rFonts w:eastAsia="宋体" w:cs="仿宋_GB2312"/>
          <w:color w:val="00B0F0"/>
          <w:kern w:val="16"/>
          <w:sz w:val="24"/>
        </w:rPr>
      </w:pPr>
    </w:p>
    <w:p>
      <w:pPr>
        <w:rPr>
          <w:rFonts w:eastAsia="宋体"/>
          <w:sz w:val="24"/>
        </w:rPr>
        <w:sectPr>
          <w:pgSz w:w="11906" w:h="16838"/>
          <w:pgMar w:top="1440" w:right="1083" w:bottom="1440" w:left="1083" w:header="0" w:footer="720" w:gutter="0"/>
          <w:cols w:space="425" w:num="1"/>
          <w:docGrid w:type="lines" w:linePitch="326" w:charSpace="0"/>
        </w:sect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6</w:t>
      </w:r>
      <w:r>
        <w:rPr>
          <w:rFonts w:hint="eastAsia" w:ascii="宋体" w:hAnsi="宋体" w:eastAsia="宋体" w:cs="仿宋_GB2312"/>
          <w:sz w:val="24"/>
          <w:szCs w:val="24"/>
        </w:rPr>
        <w:t>）长期投资及投资收益明细信息如下：</w:t>
      </w:r>
    </w:p>
    <w:tbl>
      <w:tblPr>
        <w:tblStyle w:val="33"/>
        <w:tblW w:w="14040" w:type="dxa"/>
        <w:jc w:val="center"/>
        <w:tblLayout w:type="fixed"/>
        <w:tblCellMar>
          <w:top w:w="0" w:type="dxa"/>
          <w:left w:w="108" w:type="dxa"/>
          <w:bottom w:w="0" w:type="dxa"/>
          <w:right w:w="108" w:type="dxa"/>
        </w:tblCellMar>
      </w:tblPr>
      <w:tblGrid>
        <w:gridCol w:w="14040"/>
      </w:tblGrid>
      <w:tr>
        <w:tblPrEx>
          <w:tblCellMar>
            <w:top w:w="0" w:type="dxa"/>
            <w:left w:w="108" w:type="dxa"/>
            <w:bottom w:w="0" w:type="dxa"/>
            <w:right w:w="108" w:type="dxa"/>
          </w:tblCellMar>
        </w:tblPrEx>
        <w:trPr>
          <w:trHeight w:val="794" w:hRule="exact"/>
          <w:jc w:val="center"/>
        </w:trPr>
        <w:tc>
          <w:tcPr>
            <w:tcW w:w="14040" w:type="dxa"/>
            <w:tcBorders>
              <w:top w:val="nil"/>
              <w:left w:val="nil"/>
              <w:bottom w:val="nil"/>
              <w:right w:val="nil"/>
            </w:tcBorders>
            <w:shd w:val="clear" w:color="FFFFFF" w:fill="FFFFFF"/>
            <w:vAlign w:val="center"/>
          </w:tcPr>
          <w:p>
            <w:pPr>
              <w:rPr>
                <w:rFonts w:eastAsia="宋体"/>
                <w:szCs w:val="22"/>
              </w:rPr>
            </w:pPr>
            <w:r>
              <w:rPr>
                <w:rFonts w:hint="eastAsia" w:eastAsia="宋体"/>
                <w:szCs w:val="22"/>
              </w:rPr>
              <w:t>附表</w:t>
            </w:r>
            <w:r>
              <w:rPr>
                <w:rFonts w:eastAsia="宋体"/>
                <w:szCs w:val="22"/>
              </w:rPr>
              <w:t>6</w:t>
            </w:r>
          </w:p>
          <w:p>
            <w:pPr>
              <w:jc w:val="center"/>
              <w:rPr>
                <w:rFonts w:eastAsia="宋体"/>
                <w:szCs w:val="22"/>
              </w:rPr>
            </w:pPr>
            <w:r>
              <w:rPr>
                <w:rFonts w:ascii="宋体" w:hAnsi="宋体" w:eastAsia="宋体" w:cs="宋体"/>
                <w:sz w:val="22"/>
              </w:rPr>
              <w:t>附表6为空表（略）</w:t>
            </w:r>
          </w:p>
        </w:tc>
      </w:tr>
    </w:tbl>
    <w:p>
      <w:pPr>
        <w:spacing w:line="20" w:lineRule="exact"/>
        <w:ind w:left="240" w:right="240"/>
        <w:rPr>
          <w:color w:val="000000"/>
          <w:sz w:val="20"/>
          <w:szCs w:val="20"/>
        </w:rPr>
      </w:pPr>
    </w:p>
    <w:p>
      <w:pPr>
        <w:spacing w:line="360" w:lineRule="auto"/>
        <w:ind w:left="240" w:right="240" w:firstLine="480" w:firstLineChars="200"/>
        <w:rPr>
          <w:rFonts w:eastAsia="宋体" w:cs="仿宋_GB2312"/>
          <w:color w:val="00B0F0"/>
          <w:kern w:val="16"/>
          <w:sz w:val="24"/>
        </w:rPr>
      </w:pPr>
    </w:p>
    <w:p>
      <w:pPr>
        <w:sectPr>
          <w:pgSz w:w="16838" w:h="11906" w:orient="landscape"/>
          <w:pgMar w:top="1083" w:right="1440" w:bottom="1083" w:left="1440" w:header="0" w:footer="720" w:gutter="0"/>
          <w:cols w:space="425" w:num="1"/>
          <w:docGrid w:type="lines" w:linePitch="326" w:charSpace="0"/>
        </w:sect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7</w:t>
      </w:r>
      <w:r>
        <w:rPr>
          <w:rFonts w:hint="eastAsia" w:ascii="宋体" w:hAnsi="宋体" w:eastAsia="宋体" w:cs="仿宋_GB2312"/>
          <w:sz w:val="24"/>
          <w:szCs w:val="24"/>
        </w:rPr>
        <w:t>）固定资产明细信息如下：</w:t>
      </w:r>
    </w:p>
    <w:tbl>
      <w:tblPr>
        <w:tblStyle w:val="33"/>
        <w:tblW w:w="9840" w:type="dxa"/>
        <w:jc w:val="center"/>
        <w:tblLayout w:type="fixed"/>
        <w:tblCellMar>
          <w:top w:w="0" w:type="dxa"/>
          <w:left w:w="108" w:type="dxa"/>
          <w:bottom w:w="0" w:type="dxa"/>
          <w:right w:w="108" w:type="dxa"/>
        </w:tblCellMar>
      </w:tblPr>
      <w:tblGrid>
        <w:gridCol w:w="9840"/>
      </w:tblGrid>
      <w:tr>
        <w:tblPrEx>
          <w:tblCellMar>
            <w:top w:w="0" w:type="dxa"/>
            <w:left w:w="108" w:type="dxa"/>
            <w:bottom w:w="0" w:type="dxa"/>
            <w:right w:w="108" w:type="dxa"/>
          </w:tblCellMar>
        </w:tblPrEx>
        <w:trPr>
          <w:trHeight w:val="397" w:hRule="exact"/>
          <w:jc w:val="center"/>
        </w:trPr>
        <w:tc>
          <w:tcPr>
            <w:tcW w:w="984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7</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9840" w:type="dxa"/>
            <w:tcBorders>
              <w:top w:val="nil"/>
              <w:left w:val="nil"/>
              <w:bottom w:val="nil"/>
              <w:right w:val="nil"/>
            </w:tcBorders>
            <w:shd w:val="clear" w:color="FFFFFF" w:fill="FFFFFF"/>
            <w:vAlign w:val="center"/>
          </w:tcPr>
          <w:p>
            <w:pPr>
              <w:ind w:left="240" w:right="240"/>
              <w:jc w:val="center"/>
              <w:rPr>
                <w:rFonts w:eastAsia="宋体"/>
                <w:b/>
                <w:bCs/>
                <w:sz w:val="24"/>
              </w:rPr>
            </w:pPr>
            <w:r>
              <w:rPr>
                <w:rFonts w:hint="eastAsia" w:eastAsia="宋体"/>
                <w:b/>
                <w:bCs/>
                <w:sz w:val="24"/>
              </w:rPr>
              <w:t>固定资产明细表</w:t>
            </w:r>
          </w:p>
        </w:tc>
      </w:tr>
      <w:tr>
        <w:tblPrEx>
          <w:tblCellMar>
            <w:top w:w="0" w:type="dxa"/>
            <w:left w:w="108" w:type="dxa"/>
            <w:bottom w:w="0" w:type="dxa"/>
            <w:right w:w="108" w:type="dxa"/>
          </w:tblCellMar>
        </w:tblPrEx>
        <w:trPr>
          <w:trHeight w:val="397" w:hRule="exact"/>
          <w:jc w:val="center"/>
        </w:trPr>
        <w:tc>
          <w:tcPr>
            <w:tcW w:w="9840" w:type="dxa"/>
            <w:tcBorders>
              <w:top w:val="nil"/>
              <w:left w:val="nil"/>
              <w:bottom w:val="nil"/>
              <w:right w:val="nil"/>
            </w:tcBorders>
            <w:shd w:val="clear" w:color="FFFFFF" w:fill="FFFFFF"/>
            <w:vAlign w:val="center"/>
          </w:tcPr>
          <w:p>
            <w:pPr>
              <w:ind w:left="240" w:right="50"/>
              <w:jc w:val="right"/>
              <w:rPr>
                <w:rFonts w:eastAsia="宋体"/>
                <w:b/>
                <w:bCs/>
                <w:szCs w:val="22"/>
              </w:rPr>
            </w:pPr>
            <w:r>
              <w:rPr>
                <w:rFonts w:hint="eastAsia" w:eastAsia="宋体"/>
                <w:szCs w:val="22"/>
              </w:rPr>
              <w:t>单位：万元</w:t>
            </w:r>
          </w:p>
        </w:tc>
      </w:tr>
    </w:tbl>
    <w:p>
      <w:pPr>
        <w:spacing w:line="20" w:lineRule="exact"/>
        <w:ind w:left="240" w:right="240"/>
        <w:jc w:val="right"/>
        <w:rPr>
          <w:sz w:val="20"/>
          <w:szCs w:val="20"/>
        </w:rPr>
      </w:pPr>
    </w:p>
    <w:tbl>
      <w:tblPr>
        <w:tblStyle w:val="33"/>
        <w:tblW w:w="9600" w:type="dxa"/>
        <w:jc w:val="center"/>
        <w:tblLayout w:type="fixed"/>
        <w:tblCellMar>
          <w:top w:w="0" w:type="dxa"/>
          <w:left w:w="108" w:type="dxa"/>
          <w:bottom w:w="0" w:type="dxa"/>
          <w:right w:w="108" w:type="dxa"/>
        </w:tblCellMar>
      </w:tblPr>
      <w:tblGrid>
        <w:gridCol w:w="3217"/>
        <w:gridCol w:w="1560"/>
        <w:gridCol w:w="1514"/>
        <w:gridCol w:w="1463"/>
        <w:gridCol w:w="1846"/>
      </w:tblGrid>
      <w:tr>
        <w:tblPrEx>
          <w:tblCellMar>
            <w:top w:w="0" w:type="dxa"/>
            <w:left w:w="108" w:type="dxa"/>
            <w:bottom w:w="0" w:type="dxa"/>
            <w:right w:w="108" w:type="dxa"/>
          </w:tblCellMar>
        </w:tblPrEx>
        <w:trPr>
          <w:trHeight w:val="397" w:hRule="atLeast"/>
          <w:tblHeader/>
          <w:jc w:val="center"/>
        </w:trPr>
        <w:tc>
          <w:tcPr>
            <w:tcW w:w="3217" w:type="dxa"/>
            <w:tcBorders>
              <w:top w:val="single" w:color="auto" w:sz="12" w:space="0"/>
              <w:bottom w:val="single" w:color="auto" w:sz="4" w:space="0"/>
            </w:tcBorders>
            <w:shd w:val="clear" w:color="FFFFFF" w:fill="FFFFFF"/>
            <w:vAlign w:val="center"/>
          </w:tcPr>
          <w:p>
            <w:pPr>
              <w:ind w:left="240" w:right="240"/>
              <w:jc w:val="center"/>
              <w:rPr>
                <w:rFonts w:eastAsia="宋体"/>
                <w:b/>
                <w:bCs/>
                <w:szCs w:val="22"/>
              </w:rPr>
            </w:pPr>
            <w:r>
              <w:rPr>
                <w:rFonts w:hint="eastAsia" w:eastAsia="宋体"/>
                <w:b/>
                <w:bCs/>
                <w:szCs w:val="22"/>
              </w:rPr>
              <w:t>项目</w:t>
            </w:r>
          </w:p>
        </w:tc>
        <w:tc>
          <w:tcPr>
            <w:tcW w:w="1560" w:type="dxa"/>
            <w:tcBorders>
              <w:top w:val="single" w:color="auto" w:sz="12" w:space="0"/>
              <w:bottom w:val="single" w:color="auto" w:sz="4" w:space="0"/>
            </w:tcBorders>
            <w:shd w:val="clear" w:color="FFFFFF" w:fill="FFFFFF"/>
            <w:vAlign w:val="center"/>
          </w:tcPr>
          <w:p>
            <w:pPr>
              <w:ind w:left="-92" w:leftChars="-42" w:right="28"/>
              <w:jc w:val="center"/>
              <w:rPr>
                <w:rFonts w:eastAsia="宋体"/>
                <w:b/>
                <w:bCs/>
                <w:szCs w:val="22"/>
              </w:rPr>
            </w:pPr>
            <w:r>
              <w:rPr>
                <w:rFonts w:hint="eastAsia" w:eastAsia="宋体"/>
                <w:b/>
                <w:bCs/>
                <w:szCs w:val="22"/>
              </w:rPr>
              <w:t>年初数</w:t>
            </w:r>
          </w:p>
        </w:tc>
        <w:tc>
          <w:tcPr>
            <w:tcW w:w="1514" w:type="dxa"/>
            <w:tcBorders>
              <w:top w:val="single" w:color="auto" w:sz="12" w:space="0"/>
              <w:bottom w:val="single" w:color="auto" w:sz="4" w:space="0"/>
            </w:tcBorders>
            <w:shd w:val="clear" w:color="FFFFFF" w:fill="FFFFFF"/>
            <w:vAlign w:val="center"/>
          </w:tcPr>
          <w:p>
            <w:pPr>
              <w:ind w:right="129"/>
              <w:jc w:val="center"/>
              <w:rPr>
                <w:rFonts w:eastAsia="宋体"/>
                <w:b/>
                <w:bCs/>
                <w:szCs w:val="22"/>
              </w:rPr>
            </w:pPr>
            <w:r>
              <w:rPr>
                <w:rFonts w:hint="eastAsia" w:eastAsia="宋体"/>
                <w:b/>
                <w:bCs/>
                <w:szCs w:val="22"/>
              </w:rPr>
              <w:t>本年增加</w:t>
            </w:r>
          </w:p>
        </w:tc>
        <w:tc>
          <w:tcPr>
            <w:tcW w:w="1463" w:type="dxa"/>
            <w:tcBorders>
              <w:top w:val="single" w:color="auto" w:sz="12" w:space="0"/>
              <w:bottom w:val="single" w:color="auto" w:sz="4" w:space="0"/>
            </w:tcBorders>
            <w:shd w:val="clear" w:color="FFFFFF" w:fill="FFFFFF"/>
            <w:vAlign w:val="center"/>
          </w:tcPr>
          <w:p>
            <w:pPr>
              <w:ind w:left="83"/>
              <w:jc w:val="center"/>
              <w:rPr>
                <w:rFonts w:eastAsia="宋体"/>
                <w:b/>
                <w:bCs/>
                <w:szCs w:val="22"/>
              </w:rPr>
            </w:pPr>
            <w:r>
              <w:rPr>
                <w:rFonts w:hint="eastAsia" w:eastAsia="宋体"/>
                <w:b/>
                <w:bCs/>
                <w:szCs w:val="22"/>
              </w:rPr>
              <w:t>本年减少</w:t>
            </w:r>
          </w:p>
        </w:tc>
        <w:tc>
          <w:tcPr>
            <w:tcW w:w="1846" w:type="dxa"/>
            <w:tcBorders>
              <w:top w:val="single" w:color="auto" w:sz="12" w:space="0"/>
              <w:bottom w:val="single" w:color="auto" w:sz="4" w:space="0"/>
            </w:tcBorders>
            <w:shd w:val="clear" w:color="FFFFFF" w:fill="FFFFFF"/>
            <w:vAlign w:val="center"/>
          </w:tcPr>
          <w:p>
            <w:pPr>
              <w:ind w:left="36" w:right="39"/>
              <w:jc w:val="center"/>
              <w:rPr>
                <w:rFonts w:eastAsia="宋体"/>
                <w:b/>
                <w:bCs/>
                <w:szCs w:val="22"/>
              </w:rPr>
            </w:pPr>
            <w:r>
              <w:rPr>
                <w:rFonts w:hint="eastAsia" w:eastAsia="宋体"/>
                <w:b/>
                <w:bCs/>
                <w:szCs w:val="22"/>
              </w:rPr>
              <w:t>年末数</w:t>
            </w:r>
          </w:p>
        </w:tc>
      </w:tr>
      <w:tr>
        <w:tblPrEx>
          <w:tblCellMar>
            <w:top w:w="0" w:type="dxa"/>
            <w:left w:w="108" w:type="dxa"/>
            <w:bottom w:w="0" w:type="dxa"/>
            <w:right w:w="108" w:type="dxa"/>
          </w:tblCellMar>
        </w:tblPrEx>
        <w:trPr>
          <w:trHeight w:val="20" w:hRule="exact"/>
          <w:tblHeader/>
          <w:jc w:val="center"/>
        </w:trPr>
        <w:tc>
          <w:tcPr>
            <w:tcW w:w="3217" w:type="dxa"/>
            <w:tcBorders>
              <w:top w:val="single" w:color="auto" w:sz="4" w:space="0"/>
            </w:tcBorders>
            <w:shd w:val="clear" w:color="FFFFFF" w:fill="FFFFFF"/>
            <w:vAlign w:val="center"/>
          </w:tcPr>
          <w:p>
            <w:pPr>
              <w:ind w:left="240" w:right="240"/>
              <w:jc w:val="center"/>
              <w:rPr>
                <w:rFonts w:eastAsia="宋体"/>
                <w:b/>
                <w:bCs/>
                <w:szCs w:val="22"/>
              </w:rPr>
            </w:pPr>
          </w:p>
        </w:tc>
        <w:tc>
          <w:tcPr>
            <w:tcW w:w="1560" w:type="dxa"/>
            <w:tcBorders>
              <w:top w:val="single" w:color="auto" w:sz="4" w:space="0"/>
            </w:tcBorders>
            <w:shd w:val="clear" w:color="FFFFFF" w:fill="FFFFFF"/>
            <w:vAlign w:val="center"/>
          </w:tcPr>
          <w:p>
            <w:pPr>
              <w:ind w:left="240" w:right="240"/>
              <w:jc w:val="center"/>
              <w:rPr>
                <w:rFonts w:eastAsia="宋体"/>
                <w:b/>
                <w:bCs/>
                <w:szCs w:val="22"/>
              </w:rPr>
            </w:pPr>
          </w:p>
        </w:tc>
        <w:tc>
          <w:tcPr>
            <w:tcW w:w="1514" w:type="dxa"/>
            <w:tcBorders>
              <w:top w:val="single" w:color="auto" w:sz="4" w:space="0"/>
            </w:tcBorders>
            <w:shd w:val="clear" w:color="FFFFFF" w:fill="FFFFFF"/>
            <w:vAlign w:val="center"/>
          </w:tcPr>
          <w:p>
            <w:pPr>
              <w:ind w:left="240" w:right="240"/>
              <w:jc w:val="center"/>
              <w:rPr>
                <w:rFonts w:eastAsia="宋体"/>
                <w:b/>
                <w:bCs/>
                <w:szCs w:val="22"/>
              </w:rPr>
            </w:pPr>
          </w:p>
        </w:tc>
        <w:tc>
          <w:tcPr>
            <w:tcW w:w="1463" w:type="dxa"/>
            <w:tcBorders>
              <w:top w:val="single" w:color="auto" w:sz="4" w:space="0"/>
            </w:tcBorders>
            <w:shd w:val="clear" w:color="FFFFFF" w:fill="FFFFFF"/>
            <w:vAlign w:val="center"/>
          </w:tcPr>
          <w:p>
            <w:pPr>
              <w:ind w:left="240" w:right="240"/>
              <w:jc w:val="center"/>
              <w:rPr>
                <w:rFonts w:eastAsia="宋体"/>
                <w:b/>
                <w:bCs/>
                <w:szCs w:val="22"/>
              </w:rPr>
            </w:pPr>
          </w:p>
        </w:tc>
        <w:tc>
          <w:tcPr>
            <w:tcW w:w="1846" w:type="dxa"/>
            <w:tcBorders>
              <w:top w:val="single" w:color="auto" w:sz="4" w:space="0"/>
            </w:tcBorders>
            <w:shd w:val="clear" w:color="FFFFFF" w:fill="FFFFFF"/>
            <w:vAlign w:val="center"/>
          </w:tcPr>
          <w:p>
            <w:pPr>
              <w:ind w:left="240" w:right="240"/>
              <w:jc w:val="center"/>
              <w:rPr>
                <w:rFonts w:eastAsia="宋体"/>
                <w:b/>
                <w:bCs/>
                <w:szCs w:val="22"/>
              </w:rPr>
            </w:pP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000000"/>
                <w:position w:val="-1"/>
                <w:u w:val="none"/>
              </w:rPr>
              <w:t>原值合计</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17.20</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22.96</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0.00</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40.16</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房屋及构筑物</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0.00</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0.00</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0.00</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通用设备</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14.16</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22.61</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0.00</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36.77</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专用设备</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0.00</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0.00</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0.00</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文物和陈列品</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0.00</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0.00</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0.00</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图书、档案</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0.00</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0.00</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0.00</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家具、用具、装具及动植物</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3.04</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0.35</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0.00</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3.39</w:t>
            </w:r>
          </w:p>
        </w:tc>
      </w:tr>
      <w:tr>
        <w:tblPrEx>
          <w:tblCellMar>
            <w:top w:w="0" w:type="dxa"/>
            <w:left w:w="108" w:type="dxa"/>
            <w:bottom w:w="0" w:type="dxa"/>
            <w:right w:w="108" w:type="dxa"/>
          </w:tblCellMar>
        </w:tblPrEx>
        <w:trPr>
          <w:trHeight w:val="455" w:hRule="atLeast"/>
          <w:jc w:val="center"/>
        </w:trPr>
        <w:tc>
          <w:tcPr>
            <w:tcW w:w="3217" w:type="dxa"/>
            <w:tcBorders>
              <w:top w:val="single" w:color="auto" w:sz="4" w:space="0"/>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000000"/>
                <w:position w:val="-1"/>
                <w:u w:val="none"/>
              </w:rPr>
              <w:t>累计折旧合计</w:t>
            </w:r>
          </w:p>
        </w:tc>
        <w:tc>
          <w:tcPr>
            <w:tcW w:w="1560" w:type="dxa"/>
            <w:tcBorders>
              <w:top w:val="single" w:color="auto" w:sz="4" w:space="0"/>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10.12</w:t>
            </w:r>
          </w:p>
        </w:tc>
        <w:tc>
          <w:tcPr>
            <w:tcW w:w="1514" w:type="dxa"/>
            <w:tcBorders>
              <w:top w:val="single" w:color="auto" w:sz="4" w:space="0"/>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23.59</w:t>
            </w:r>
          </w:p>
        </w:tc>
        <w:tc>
          <w:tcPr>
            <w:tcW w:w="1463" w:type="dxa"/>
            <w:tcBorders>
              <w:top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0.00</w:t>
            </w:r>
          </w:p>
        </w:tc>
        <w:tc>
          <w:tcPr>
            <w:tcW w:w="1846" w:type="dxa"/>
            <w:tcBorders>
              <w:top w:val="single" w:color="auto" w:sz="4" w:space="0"/>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33.71</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房屋及构筑物</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0.00</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0.00</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0.00</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通用设备</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9.59</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23.37</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0.00</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32.96</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专用设备</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0.00</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0.00</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0.00</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文物和陈列品</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 xml:space="preserve">  --</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 xml:space="preserve">  --</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 xml:space="preserve">  --</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图书、档案</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 xml:space="preserve">  --</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 xml:space="preserve">  --</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 xml:space="preserve">  --</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家具、用具、装具及动植物</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0.53</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0.22</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0.00</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0.75</w:t>
            </w:r>
          </w:p>
        </w:tc>
      </w:tr>
      <w:tr>
        <w:tblPrEx>
          <w:tblCellMar>
            <w:top w:w="0" w:type="dxa"/>
            <w:left w:w="108" w:type="dxa"/>
            <w:bottom w:w="0" w:type="dxa"/>
            <w:right w:w="108" w:type="dxa"/>
          </w:tblCellMar>
        </w:tblPrEx>
        <w:trPr>
          <w:trHeight w:val="455" w:hRule="atLeast"/>
          <w:jc w:val="center"/>
        </w:trPr>
        <w:tc>
          <w:tcPr>
            <w:tcW w:w="3217" w:type="dxa"/>
            <w:tcBorders>
              <w:top w:val="single" w:color="auto" w:sz="4" w:space="0"/>
            </w:tcBorders>
            <w:shd w:val="clear" w:color="FFFFFF" w:fill="FFFFFF"/>
            <w:vAlign w:val="center"/>
          </w:tcPr>
          <w:p>
            <w:pPr>
              <w:pageBreakBefore w:val="0"/>
              <w:ind w:right="240"/>
              <w:jc w:val="left"/>
              <w:textAlignment w:val="auto"/>
            </w:pPr>
            <w:r>
              <w:rPr>
                <w:rFonts w:ascii="Times New Roman" w:hAnsi="Times New Roman" w:eastAsia="Times New Roman" w:cs="Times New Roman"/>
                <w:b/>
                <w:i w:val="0"/>
                <w:color w:val="000000"/>
                <w:position w:val="-1"/>
                <w:u w:val="none"/>
              </w:rPr>
              <w:t>净值合计</w:t>
            </w:r>
          </w:p>
        </w:tc>
        <w:tc>
          <w:tcPr>
            <w:tcW w:w="1560" w:type="dxa"/>
            <w:tcBorders>
              <w:top w:val="single" w:color="auto" w:sz="4" w:space="0"/>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7.08</w:t>
            </w:r>
          </w:p>
        </w:tc>
        <w:tc>
          <w:tcPr>
            <w:tcW w:w="1514" w:type="dxa"/>
            <w:tcBorders>
              <w:top w:val="single" w:color="auto" w:sz="4" w:space="0"/>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w:t>
            </w:r>
          </w:p>
        </w:tc>
        <w:tc>
          <w:tcPr>
            <w:tcW w:w="1463" w:type="dxa"/>
            <w:tcBorders>
              <w:top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w:t>
            </w:r>
          </w:p>
        </w:tc>
        <w:tc>
          <w:tcPr>
            <w:tcW w:w="1846" w:type="dxa"/>
            <w:tcBorders>
              <w:top w:val="single" w:color="auto" w:sz="4" w:space="0"/>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6.45</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房屋及构筑物</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0.00</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 xml:space="preserve">  --</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通用设备</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4.57</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 xml:space="preserve">  --</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3.81</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专用设备</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0.00</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 xml:space="preserve">  --</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文物和陈列品</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0.00</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 xml:space="preserve">  --</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图书、档案</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0.00</w:t>
            </w:r>
          </w:p>
        </w:tc>
        <w:tc>
          <w:tcPr>
            <w:tcW w:w="1514" w:type="dxa"/>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 xml:space="preserve">  --</w:t>
            </w:r>
          </w:p>
        </w:tc>
        <w:tc>
          <w:tcPr>
            <w:tcW w:w="1846" w:type="dxa"/>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0.00</w:t>
            </w:r>
          </w:p>
        </w:tc>
      </w:tr>
      <w:tr>
        <w:tblPrEx>
          <w:tblCellMar>
            <w:top w:w="0" w:type="dxa"/>
            <w:left w:w="108" w:type="dxa"/>
            <w:bottom w:w="0" w:type="dxa"/>
            <w:right w:w="108" w:type="dxa"/>
          </w:tblCellMar>
        </w:tblPrEx>
        <w:trPr>
          <w:trHeight w:val="455" w:hRule="atLeast"/>
          <w:jc w:val="center"/>
        </w:trPr>
        <w:tc>
          <w:tcPr>
            <w:tcW w:w="3217" w:type="dxa"/>
            <w:tcBorders>
              <w:bottom w:val="single" w:color="auto" w:sz="12" w:space="0"/>
            </w:tcBorders>
            <w:shd w:val="clear" w:color="FFFFFF" w:fill="FFFFFF"/>
            <w:vAlign w:val="center"/>
          </w:tcPr>
          <w:p>
            <w:pPr>
              <w:pageBreakBefore w:val="0"/>
              <w:ind w:right="240"/>
              <w:jc w:val="left"/>
              <w:textAlignment w:val="auto"/>
            </w:pPr>
            <w:r>
              <w:rPr>
                <w:rFonts w:ascii="Times New Roman" w:hAnsi="Times New Roman" w:eastAsia="Times New Roman" w:cs="Times New Roman"/>
                <w:b w:val="0"/>
                <w:i w:val="0"/>
                <w:color w:val="000000"/>
                <w:position w:val="-1"/>
                <w:u w:val="none"/>
              </w:rPr>
              <w:t xml:space="preserve">  家具、用具、装具及动植物</w:t>
            </w:r>
          </w:p>
        </w:tc>
        <w:tc>
          <w:tcPr>
            <w:tcW w:w="1560" w:type="dxa"/>
            <w:tcBorders>
              <w:bottom w:val="single" w:color="auto" w:sz="12" w:space="0"/>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Times New Roman" w:cs="Times New Roman"/>
                <w:b w:val="0"/>
                <w:i w:val="0"/>
                <w:color w:val="000000"/>
                <w:position w:val="-1"/>
                <w:u w:val="none"/>
              </w:rPr>
              <w:t>2.51</w:t>
            </w:r>
          </w:p>
        </w:tc>
        <w:tc>
          <w:tcPr>
            <w:tcW w:w="1514" w:type="dxa"/>
            <w:tcBorders>
              <w:bottom w:val="single" w:color="auto" w:sz="12" w:space="0"/>
            </w:tcBorders>
            <w:shd w:val="clear" w:color="FFFFFF" w:fill="FFFFFF"/>
            <w:vAlign w:val="center"/>
          </w:tcPr>
          <w:p>
            <w:pPr>
              <w:pageBreakBefore w:val="0"/>
              <w:ind w:right="-4" w:rightChars="-2"/>
              <w:jc w:val="right"/>
              <w:textAlignment w:val="auto"/>
            </w:pPr>
            <w:r>
              <w:rPr>
                <w:rFonts w:ascii="Times New Roman" w:hAnsi="Times New Roman" w:eastAsia="Times New Roman" w:cs="Times New Roman"/>
                <w:b w:val="0"/>
                <w:i w:val="0"/>
                <w:color w:val="000000"/>
                <w:position w:val="-1"/>
                <w:u w:val="none"/>
              </w:rPr>
              <w:t xml:space="preserve">  --</w:t>
            </w:r>
          </w:p>
        </w:tc>
        <w:tc>
          <w:tcPr>
            <w:tcW w:w="1463" w:type="dxa"/>
            <w:tcBorders>
              <w:bottom w:val="single" w:color="auto" w:sz="12"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u w:val="none"/>
              </w:rPr>
              <w:t xml:space="preserve">  --</w:t>
            </w:r>
          </w:p>
        </w:tc>
        <w:tc>
          <w:tcPr>
            <w:tcW w:w="1846" w:type="dxa"/>
            <w:tcBorders>
              <w:bottom w:val="single" w:color="auto" w:sz="12" w:space="0"/>
            </w:tcBorders>
            <w:shd w:val="clear" w:color="FFFFFF" w:fill="FFFFFF"/>
            <w:vAlign w:val="center"/>
          </w:tcPr>
          <w:p>
            <w:pPr>
              <w:pageBreakBefore w:val="0"/>
              <w:ind w:left="240" w:right="-33" w:rightChars="-15"/>
              <w:jc w:val="right"/>
              <w:textAlignment w:val="auto"/>
            </w:pPr>
            <w:r>
              <w:rPr>
                <w:rFonts w:ascii="Times New Roman" w:hAnsi="Times New Roman" w:eastAsia="Times New Roman" w:cs="Times New Roman"/>
                <w:b w:val="0"/>
                <w:i w:val="0"/>
                <w:color w:val="000000"/>
                <w:position w:val="-1"/>
                <w:u w:val="none"/>
              </w:rPr>
              <w:t>2.64</w:t>
            </w:r>
          </w:p>
        </w:tc>
      </w:tr>
    </w:tbl>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仿宋_GB2312" w:hAnsi="仿宋_GB2312" w:cs="仿宋_GB2312"/>
          <w:color w:val="000000"/>
          <w:szCs w:val="30"/>
        </w:rPr>
      </w:pPr>
      <w:r>
        <w:rPr>
          <w:rFonts w:hint="eastAsia" w:ascii="宋体" w:hAnsi="宋体" w:eastAsia="宋体" w:cs="仿宋_GB2312"/>
          <w:sz w:val="24"/>
          <w:szCs w:val="24"/>
        </w:rPr>
        <w:t>（</w:t>
      </w:r>
      <w:r>
        <w:rPr>
          <w:rFonts w:ascii="宋体" w:hAnsi="宋体" w:eastAsia="宋体" w:cs="仿宋_GB2312"/>
          <w:sz w:val="24"/>
          <w:szCs w:val="24"/>
        </w:rPr>
        <w:t>8</w:t>
      </w:r>
      <w:r>
        <w:rPr>
          <w:rFonts w:hint="eastAsia" w:ascii="宋体" w:hAnsi="宋体" w:eastAsia="宋体" w:cs="仿宋_GB2312"/>
          <w:sz w:val="24"/>
          <w:szCs w:val="24"/>
        </w:rPr>
        <w:t>）在建工程明细信息如下：</w:t>
      </w:r>
    </w:p>
    <w:tbl>
      <w:tblPr>
        <w:tblStyle w:val="33"/>
        <w:tblW w:w="9840" w:type="dxa"/>
        <w:jc w:val="center"/>
        <w:tblLayout w:type="fixed"/>
        <w:tblCellMar>
          <w:top w:w="0" w:type="dxa"/>
          <w:left w:w="108" w:type="dxa"/>
          <w:bottom w:w="0" w:type="dxa"/>
          <w:right w:w="108" w:type="dxa"/>
        </w:tblCellMar>
      </w:tblPr>
      <w:tblGrid>
        <w:gridCol w:w="9840"/>
      </w:tblGrid>
      <w:tr>
        <w:tblPrEx>
          <w:tblCellMar>
            <w:top w:w="0" w:type="dxa"/>
            <w:left w:w="108" w:type="dxa"/>
            <w:bottom w:w="0" w:type="dxa"/>
            <w:right w:w="108" w:type="dxa"/>
          </w:tblCellMar>
        </w:tblPrEx>
        <w:trPr>
          <w:trHeight w:val="794" w:hRule="exact"/>
          <w:jc w:val="center"/>
        </w:trPr>
        <w:tc>
          <w:tcPr>
            <w:tcW w:w="984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8</w:t>
            </w:r>
          </w:p>
          <w:p>
            <w:pPr>
              <w:ind w:left="240" w:right="240"/>
              <w:jc w:val="center"/>
              <w:rPr>
                <w:rFonts w:eastAsia="宋体"/>
                <w:szCs w:val="22"/>
              </w:rPr>
            </w:pPr>
            <w:r>
              <w:rPr>
                <w:rFonts w:ascii="宋体" w:hAnsi="宋体" w:eastAsia="宋体" w:cs="宋体"/>
                <w:sz w:val="22"/>
              </w:rPr>
              <w:t>附表8为空表（略）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9</w:t>
      </w:r>
      <w:r>
        <w:rPr>
          <w:rFonts w:hint="eastAsia" w:ascii="宋体" w:hAnsi="宋体" w:eastAsia="宋体" w:cs="仿宋_GB2312"/>
          <w:sz w:val="24"/>
          <w:szCs w:val="24"/>
        </w:rPr>
        <w:t>）无形资产明细信息如下：</w:t>
      </w: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794" w:hRule="exact"/>
          <w:jc w:val="center"/>
        </w:trPr>
        <w:tc>
          <w:tcPr>
            <w:tcW w:w="972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9</w:t>
            </w:r>
          </w:p>
          <w:p>
            <w:pPr>
              <w:ind w:left="240" w:right="240"/>
              <w:jc w:val="center"/>
              <w:rPr>
                <w:rFonts w:eastAsia="宋体"/>
                <w:szCs w:val="22"/>
              </w:rPr>
            </w:pPr>
            <w:r>
              <w:rPr>
                <w:rFonts w:ascii="宋体" w:hAnsi="宋体" w:eastAsia="宋体" w:cs="宋体"/>
                <w:sz w:val="22"/>
              </w:rPr>
              <w:t>附表9为空表（略）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bookmarkStart w:id="67" w:name="RANGE!A1:D22"/>
      <w:bookmarkEnd w:id="67"/>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10</w:t>
      </w:r>
      <w:r>
        <w:rPr>
          <w:rFonts w:hint="eastAsia" w:ascii="宋体" w:hAnsi="宋体" w:eastAsia="宋体" w:cs="仿宋_GB2312"/>
          <w:sz w:val="24"/>
          <w:szCs w:val="24"/>
        </w:rPr>
        <w:t>）公共基础设施明细信息如下：</w:t>
      </w: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794" w:hRule="exact"/>
          <w:jc w:val="center"/>
        </w:trPr>
        <w:tc>
          <w:tcPr>
            <w:tcW w:w="972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10-1</w:t>
            </w:r>
          </w:p>
          <w:p>
            <w:pPr>
              <w:ind w:left="240" w:right="240"/>
              <w:jc w:val="center"/>
              <w:rPr>
                <w:rFonts w:eastAsia="宋体"/>
                <w:szCs w:val="22"/>
              </w:rPr>
            </w:pPr>
            <w:r>
              <w:rPr>
                <w:rFonts w:ascii="宋体" w:hAnsi="宋体" w:eastAsia="宋体" w:cs="宋体"/>
                <w:sz w:val="22"/>
              </w:rPr>
              <w:t>附表10-1为空表（略）</w:t>
            </w:r>
          </w:p>
        </w:tc>
      </w:tr>
    </w:tbl>
    <w:p>
      <w:pPr>
        <w:spacing w:line="20" w:lineRule="exact"/>
        <w:ind w:left="240" w:right="240"/>
        <w:jc w:val="right"/>
        <w:rPr>
          <w:b/>
          <w:sz w:val="20"/>
          <w:szCs w:val="20"/>
        </w:rPr>
      </w:pPr>
    </w:p>
    <w:p>
      <w:pPr>
        <w:spacing w:line="360" w:lineRule="auto"/>
        <w:ind w:left="240" w:right="240" w:firstLine="480" w:firstLineChars="200"/>
        <w:rPr>
          <w:rFonts w:eastAsia="宋体" w:cs="仿宋_GB2312"/>
          <w:color w:val="00B0F0"/>
          <w:kern w:val="16"/>
          <w:sz w:val="24"/>
        </w:rPr>
      </w:pP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794" w:hRule="exact"/>
          <w:jc w:val="center"/>
        </w:trPr>
        <w:tc>
          <w:tcPr>
            <w:tcW w:w="972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10-2</w:t>
            </w:r>
          </w:p>
          <w:p>
            <w:pPr>
              <w:ind w:left="240" w:right="240"/>
              <w:jc w:val="center"/>
              <w:rPr>
                <w:rFonts w:eastAsia="宋体"/>
                <w:szCs w:val="22"/>
              </w:rPr>
            </w:pPr>
            <w:r>
              <w:rPr>
                <w:rFonts w:ascii="宋体" w:hAnsi="宋体" w:eastAsia="宋体" w:cs="宋体"/>
                <w:sz w:val="22"/>
              </w:rPr>
              <w:t>附表10-2为空表（略）</w:t>
            </w:r>
          </w:p>
        </w:tc>
      </w:tr>
    </w:tbl>
    <w:p>
      <w:pPr>
        <w:spacing w:line="20" w:lineRule="exact"/>
        <w:ind w:left="240" w:right="240"/>
        <w:jc w:val="right"/>
        <w:rPr>
          <w:b/>
          <w:sz w:val="20"/>
          <w:szCs w:val="20"/>
        </w:rPr>
      </w:pPr>
    </w:p>
    <w:p>
      <w:pPr>
        <w:spacing w:line="360" w:lineRule="auto"/>
        <w:ind w:left="240" w:right="240" w:firstLine="480" w:firstLineChars="200"/>
        <w:rPr>
          <w:rFonts w:eastAsia="宋体" w:cs="仿宋_GB2312"/>
          <w:color w:val="00B0F0"/>
          <w:kern w:val="16"/>
          <w:sz w:val="24"/>
        </w:rPr>
      </w:pP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794" w:hRule="exact"/>
          <w:jc w:val="center"/>
        </w:trPr>
        <w:tc>
          <w:tcPr>
            <w:tcW w:w="972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10-3</w:t>
            </w:r>
          </w:p>
          <w:p>
            <w:pPr>
              <w:ind w:left="240" w:right="240"/>
              <w:jc w:val="center"/>
              <w:rPr>
                <w:rFonts w:eastAsia="宋体"/>
                <w:szCs w:val="22"/>
              </w:rPr>
            </w:pPr>
            <w:r>
              <w:rPr>
                <w:rFonts w:ascii="宋体" w:hAnsi="宋体" w:eastAsia="宋体" w:cs="宋体"/>
                <w:sz w:val="22"/>
              </w:rPr>
              <w:t>附表10-3为空表（略）</w:t>
            </w:r>
          </w:p>
        </w:tc>
      </w:tr>
    </w:tbl>
    <w:p>
      <w:pPr>
        <w:spacing w:line="20" w:lineRule="exact"/>
        <w:ind w:left="240" w:right="240"/>
        <w:jc w:val="right"/>
        <w:rPr>
          <w:b/>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1</w:t>
      </w:r>
      <w:r>
        <w:rPr>
          <w:rFonts w:hint="eastAsia" w:ascii="宋体" w:hAnsi="宋体" w:eastAsia="宋体" w:cs="仿宋_GB2312"/>
          <w:sz w:val="24"/>
          <w:szCs w:val="24"/>
        </w:rPr>
        <w:t>）政府储备物资明细信息如下：</w:t>
      </w:r>
    </w:p>
    <w:tbl>
      <w:tblPr>
        <w:tblStyle w:val="33"/>
        <w:tblW w:w="9840" w:type="dxa"/>
        <w:jc w:val="center"/>
        <w:tblLayout w:type="fixed"/>
        <w:tblCellMar>
          <w:top w:w="0" w:type="dxa"/>
          <w:left w:w="108" w:type="dxa"/>
          <w:bottom w:w="0" w:type="dxa"/>
          <w:right w:w="108" w:type="dxa"/>
        </w:tblCellMar>
      </w:tblPr>
      <w:tblGrid>
        <w:gridCol w:w="9840"/>
      </w:tblGrid>
      <w:tr>
        <w:tblPrEx>
          <w:tblCellMar>
            <w:top w:w="0" w:type="dxa"/>
            <w:left w:w="108" w:type="dxa"/>
            <w:bottom w:w="0" w:type="dxa"/>
            <w:right w:w="108" w:type="dxa"/>
          </w:tblCellMar>
        </w:tblPrEx>
        <w:trPr>
          <w:trHeight w:val="794" w:hRule="exact"/>
          <w:jc w:val="center"/>
        </w:trPr>
        <w:tc>
          <w:tcPr>
            <w:tcW w:w="984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附表1</w:t>
            </w:r>
            <w:r>
              <w:rPr>
                <w:rFonts w:eastAsia="宋体"/>
                <w:color w:val="000000"/>
                <w:szCs w:val="22"/>
              </w:rPr>
              <w:t>1</w:t>
            </w:r>
          </w:p>
          <w:p>
            <w:pPr>
              <w:ind w:left="240" w:right="240"/>
              <w:jc w:val="center"/>
              <w:rPr>
                <w:rFonts w:eastAsia="宋体"/>
                <w:szCs w:val="22"/>
              </w:rPr>
            </w:pPr>
            <w:r>
              <w:rPr>
                <w:rFonts w:ascii="宋体" w:hAnsi="宋体" w:eastAsia="宋体" w:cs="宋体"/>
                <w:sz w:val="22"/>
              </w:rPr>
              <w:t>附表11为空表（略）</w:t>
            </w:r>
          </w:p>
        </w:tc>
      </w:tr>
    </w:tbl>
    <w:p>
      <w:pPr>
        <w:spacing w:line="20" w:lineRule="exact"/>
        <w:ind w:left="240" w:right="240"/>
        <w:jc w:val="right"/>
        <w:rPr>
          <w:b/>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2</w:t>
      </w:r>
      <w:r>
        <w:rPr>
          <w:rFonts w:hint="eastAsia" w:ascii="宋体" w:hAnsi="宋体" w:eastAsia="宋体" w:cs="仿宋_GB2312"/>
          <w:sz w:val="24"/>
          <w:szCs w:val="24"/>
        </w:rPr>
        <w:t>）保障性住房明细信息如下：</w:t>
      </w:r>
    </w:p>
    <w:tbl>
      <w:tblPr>
        <w:tblStyle w:val="33"/>
        <w:tblW w:w="9840" w:type="dxa"/>
        <w:jc w:val="center"/>
        <w:tblLayout w:type="fixed"/>
        <w:tblCellMar>
          <w:top w:w="0" w:type="dxa"/>
          <w:left w:w="108" w:type="dxa"/>
          <w:bottom w:w="0" w:type="dxa"/>
          <w:right w:w="108" w:type="dxa"/>
        </w:tblCellMar>
      </w:tblPr>
      <w:tblGrid>
        <w:gridCol w:w="9840"/>
      </w:tblGrid>
      <w:tr>
        <w:tblPrEx>
          <w:tblCellMar>
            <w:top w:w="0" w:type="dxa"/>
            <w:left w:w="108" w:type="dxa"/>
            <w:bottom w:w="0" w:type="dxa"/>
            <w:right w:w="108" w:type="dxa"/>
          </w:tblCellMar>
        </w:tblPrEx>
        <w:trPr>
          <w:trHeight w:val="794" w:hRule="exact"/>
          <w:jc w:val="center"/>
        </w:trPr>
        <w:tc>
          <w:tcPr>
            <w:tcW w:w="984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12</w:t>
            </w:r>
          </w:p>
          <w:p>
            <w:pPr>
              <w:ind w:left="240" w:right="240"/>
              <w:jc w:val="center"/>
              <w:rPr>
                <w:rFonts w:eastAsia="宋体"/>
                <w:szCs w:val="22"/>
              </w:rPr>
            </w:pPr>
            <w:r>
              <w:rPr>
                <w:rFonts w:ascii="宋体" w:hAnsi="宋体" w:eastAsia="宋体" w:cs="宋体"/>
                <w:sz w:val="22"/>
              </w:rPr>
              <w:t>附表12为空表（略）</w:t>
            </w:r>
          </w:p>
        </w:tc>
      </w:tr>
    </w:tbl>
    <w:p>
      <w:pPr>
        <w:spacing w:line="20" w:lineRule="exact"/>
        <w:ind w:left="240" w:right="240"/>
        <w:jc w:val="right"/>
        <w:rPr>
          <w:b/>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仿宋_GB2312" w:hAnsi="仿宋_GB2312" w:cs="仿宋_GB2312"/>
          <w:color w:val="000000"/>
          <w:szCs w:val="30"/>
        </w:rPr>
      </w:pPr>
      <w:r>
        <w:rPr>
          <w:rFonts w:hint="eastAsia" w:ascii="宋体" w:hAnsi="宋体" w:eastAsia="宋体" w:cs="仿宋_GB2312"/>
          <w:sz w:val="24"/>
          <w:szCs w:val="24"/>
        </w:rPr>
        <w:t>（1</w:t>
      </w:r>
      <w:r>
        <w:rPr>
          <w:rFonts w:ascii="宋体" w:hAnsi="宋体" w:eastAsia="宋体" w:cs="仿宋_GB2312"/>
          <w:sz w:val="24"/>
          <w:szCs w:val="24"/>
        </w:rPr>
        <w:t>3</w:t>
      </w:r>
      <w:r>
        <w:rPr>
          <w:rFonts w:hint="eastAsia" w:ascii="宋体" w:hAnsi="宋体" w:eastAsia="宋体" w:cs="仿宋_GB2312"/>
          <w:sz w:val="24"/>
          <w:szCs w:val="24"/>
        </w:rPr>
        <w:t>）</w:t>
      </w:r>
      <w:r>
        <w:rPr>
          <w:rFonts w:ascii="宋体" w:hAnsi="宋体" w:eastAsia="宋体" w:cs="仿宋_GB2312"/>
          <w:sz w:val="24"/>
          <w:szCs w:val="24"/>
        </w:rPr>
        <w:t>PPP项目资产</w:t>
      </w:r>
      <w:r>
        <w:rPr>
          <w:rFonts w:hint="eastAsia" w:ascii="宋体" w:hAnsi="宋体" w:eastAsia="宋体" w:cs="仿宋_GB2312"/>
          <w:sz w:val="24"/>
          <w:szCs w:val="24"/>
        </w:rPr>
        <w:t>明细信息如下：</w:t>
      </w: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794" w:hRule="exact"/>
          <w:jc w:val="center"/>
        </w:trPr>
        <w:tc>
          <w:tcPr>
            <w:tcW w:w="972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13</w:t>
            </w:r>
          </w:p>
          <w:p>
            <w:pPr>
              <w:ind w:left="240" w:right="240"/>
              <w:jc w:val="center"/>
              <w:rPr>
                <w:rFonts w:eastAsia="宋体"/>
                <w:szCs w:val="22"/>
              </w:rPr>
            </w:pPr>
            <w:r>
              <w:rPr>
                <w:rFonts w:ascii="宋体" w:hAnsi="宋体" w:eastAsia="宋体" w:cs="宋体"/>
                <w:sz w:val="22"/>
              </w:rPr>
              <w:t>附表13为空表（略）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4</w:t>
      </w:r>
      <w:r>
        <w:rPr>
          <w:rFonts w:hint="eastAsia" w:ascii="宋体" w:hAnsi="宋体" w:eastAsia="宋体" w:cs="仿宋_GB2312"/>
          <w:sz w:val="24"/>
          <w:szCs w:val="24"/>
        </w:rPr>
        <w:t>）应付票据明细信息如下：</w:t>
      </w:r>
    </w:p>
    <w:tbl>
      <w:tblPr>
        <w:tblStyle w:val="33"/>
        <w:tblW w:w="9840" w:type="dxa"/>
        <w:jc w:val="center"/>
        <w:tblLayout w:type="fixed"/>
        <w:tblCellMar>
          <w:top w:w="0" w:type="dxa"/>
          <w:left w:w="108" w:type="dxa"/>
          <w:bottom w:w="0" w:type="dxa"/>
          <w:right w:w="108" w:type="dxa"/>
        </w:tblCellMar>
      </w:tblPr>
      <w:tblGrid>
        <w:gridCol w:w="9840"/>
      </w:tblGrid>
      <w:tr>
        <w:tblPrEx>
          <w:tblCellMar>
            <w:top w:w="0" w:type="dxa"/>
            <w:left w:w="108" w:type="dxa"/>
            <w:bottom w:w="0" w:type="dxa"/>
            <w:right w:w="108" w:type="dxa"/>
          </w:tblCellMar>
        </w:tblPrEx>
        <w:trPr>
          <w:trHeight w:val="794" w:hRule="exact"/>
          <w:jc w:val="center"/>
        </w:trPr>
        <w:tc>
          <w:tcPr>
            <w:tcW w:w="984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14</w:t>
            </w:r>
          </w:p>
          <w:p>
            <w:pPr>
              <w:ind w:left="240" w:right="240"/>
              <w:jc w:val="center"/>
              <w:rPr>
                <w:rFonts w:eastAsia="宋体"/>
                <w:szCs w:val="22"/>
              </w:rPr>
            </w:pPr>
            <w:r>
              <w:rPr>
                <w:rFonts w:ascii="宋体" w:hAnsi="宋体" w:eastAsia="宋体" w:cs="宋体"/>
                <w:sz w:val="22"/>
              </w:rPr>
              <w:t>附表14为空表（略）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5</w:t>
      </w:r>
      <w:r>
        <w:rPr>
          <w:rFonts w:hint="eastAsia" w:ascii="宋体" w:hAnsi="宋体" w:eastAsia="宋体" w:cs="仿宋_GB2312"/>
          <w:sz w:val="24"/>
          <w:szCs w:val="24"/>
        </w:rPr>
        <w:t>）应付账款明细信息如下：</w:t>
      </w:r>
    </w:p>
    <w:tbl>
      <w:tblPr>
        <w:tblStyle w:val="33"/>
        <w:tblW w:w="9840" w:type="dxa"/>
        <w:jc w:val="center"/>
        <w:tblLayout w:type="fixed"/>
        <w:tblCellMar>
          <w:top w:w="0" w:type="dxa"/>
          <w:left w:w="108" w:type="dxa"/>
          <w:bottom w:w="0" w:type="dxa"/>
          <w:right w:w="108" w:type="dxa"/>
        </w:tblCellMar>
      </w:tblPr>
      <w:tblGrid>
        <w:gridCol w:w="9840"/>
      </w:tblGrid>
      <w:tr>
        <w:tblPrEx>
          <w:tblCellMar>
            <w:top w:w="0" w:type="dxa"/>
            <w:left w:w="108" w:type="dxa"/>
            <w:bottom w:w="0" w:type="dxa"/>
            <w:right w:w="108" w:type="dxa"/>
          </w:tblCellMar>
        </w:tblPrEx>
        <w:trPr>
          <w:trHeight w:val="794" w:hRule="exact"/>
          <w:jc w:val="center"/>
        </w:trPr>
        <w:tc>
          <w:tcPr>
            <w:tcW w:w="984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15</w:t>
            </w:r>
          </w:p>
          <w:p>
            <w:pPr>
              <w:ind w:left="240" w:right="240"/>
              <w:jc w:val="center"/>
              <w:rPr>
                <w:rFonts w:eastAsia="宋体"/>
                <w:szCs w:val="22"/>
              </w:rPr>
            </w:pPr>
            <w:r>
              <w:rPr>
                <w:rFonts w:ascii="宋体" w:hAnsi="宋体" w:eastAsia="宋体" w:cs="宋体"/>
                <w:sz w:val="22"/>
              </w:rPr>
              <w:t>附表15为空表（略）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16</w:t>
      </w:r>
      <w:r>
        <w:rPr>
          <w:rFonts w:hint="eastAsia" w:ascii="宋体" w:hAnsi="宋体" w:eastAsia="宋体" w:cs="仿宋_GB2312"/>
          <w:sz w:val="24"/>
          <w:szCs w:val="24"/>
        </w:rPr>
        <w:t>）预收账款明细信息如下：</w:t>
      </w:r>
    </w:p>
    <w:tbl>
      <w:tblPr>
        <w:tblStyle w:val="33"/>
        <w:tblW w:w="9960" w:type="dxa"/>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794" w:hRule="exact"/>
          <w:jc w:val="center"/>
        </w:trPr>
        <w:tc>
          <w:tcPr>
            <w:tcW w:w="996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16</w:t>
            </w:r>
          </w:p>
          <w:p>
            <w:pPr>
              <w:ind w:left="240" w:right="240"/>
              <w:jc w:val="center"/>
              <w:rPr>
                <w:rFonts w:eastAsia="宋体"/>
                <w:szCs w:val="22"/>
              </w:rPr>
            </w:pPr>
            <w:r>
              <w:rPr>
                <w:rFonts w:ascii="宋体" w:hAnsi="宋体" w:eastAsia="宋体" w:cs="宋体"/>
                <w:sz w:val="22"/>
              </w:rPr>
              <w:t>附表16为空表（略）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17</w:t>
      </w:r>
      <w:r>
        <w:rPr>
          <w:rFonts w:hint="eastAsia" w:ascii="宋体" w:hAnsi="宋体" w:eastAsia="宋体" w:cs="仿宋_GB2312"/>
          <w:sz w:val="24"/>
          <w:szCs w:val="24"/>
        </w:rPr>
        <w:t>）其他应付款明细信息如下：</w:t>
      </w:r>
    </w:p>
    <w:tbl>
      <w:tblPr>
        <w:tblStyle w:val="33"/>
        <w:tblW w:w="10200" w:type="dxa"/>
        <w:jc w:val="center"/>
        <w:tblLayout w:type="fixed"/>
        <w:tblCellMar>
          <w:top w:w="0" w:type="dxa"/>
          <w:left w:w="108" w:type="dxa"/>
          <w:bottom w:w="0" w:type="dxa"/>
          <w:right w:w="108" w:type="dxa"/>
        </w:tblCellMar>
      </w:tblPr>
      <w:tblGrid>
        <w:gridCol w:w="10200"/>
      </w:tblGrid>
      <w:tr>
        <w:tblPrEx>
          <w:tblCellMar>
            <w:top w:w="0" w:type="dxa"/>
            <w:left w:w="108" w:type="dxa"/>
            <w:bottom w:w="0" w:type="dxa"/>
            <w:right w:w="108" w:type="dxa"/>
          </w:tblCellMar>
        </w:tblPrEx>
        <w:trPr>
          <w:trHeight w:val="794" w:hRule="exact"/>
          <w:jc w:val="center"/>
        </w:trPr>
        <w:tc>
          <w:tcPr>
            <w:tcW w:w="10200" w:type="dxa"/>
            <w:tcBorders>
              <w:top w:val="nil"/>
              <w:left w:val="nil"/>
              <w:bottom w:val="nil"/>
              <w:right w:val="nil"/>
            </w:tcBorders>
            <w:shd w:val="clear" w:color="FFFFFF" w:fill="FFFFFF"/>
            <w:vAlign w:val="center"/>
          </w:tcPr>
          <w:p>
            <w:pPr>
              <w:spacing w:after="101"/>
              <w:ind w:left="240" w:right="240"/>
              <w:rPr>
                <w:rFonts w:eastAsia="宋体"/>
                <w:color w:val="000000"/>
                <w:szCs w:val="22"/>
              </w:rPr>
            </w:pPr>
            <w:r>
              <w:rPr>
                <w:rFonts w:hint="eastAsia" w:eastAsia="宋体"/>
                <w:color w:val="000000"/>
                <w:szCs w:val="22"/>
              </w:rPr>
              <w:t>附表</w:t>
            </w:r>
            <w:r>
              <w:rPr>
                <w:rFonts w:eastAsia="宋体"/>
                <w:color w:val="000000"/>
                <w:szCs w:val="22"/>
              </w:rPr>
              <w:t>17</w:t>
            </w:r>
          </w:p>
          <w:p>
            <w:pPr>
              <w:ind w:left="240" w:right="240"/>
              <w:jc w:val="center"/>
              <w:rPr>
                <w:rFonts w:eastAsia="宋体"/>
                <w:szCs w:val="22"/>
              </w:rPr>
            </w:pPr>
            <w:r>
              <w:rPr>
                <w:rFonts w:ascii="宋体" w:hAnsi="宋体" w:eastAsia="宋体" w:cs="宋体"/>
                <w:sz w:val="22"/>
              </w:rPr>
              <w:t>附表17为空表（略）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18</w:t>
      </w:r>
      <w:r>
        <w:rPr>
          <w:rFonts w:hint="eastAsia" w:ascii="宋体" w:hAnsi="宋体" w:eastAsia="宋体" w:cs="仿宋_GB2312"/>
          <w:sz w:val="24"/>
          <w:szCs w:val="24"/>
        </w:rPr>
        <w:t>）长期借款明细信息如下：</w:t>
      </w:r>
    </w:p>
    <w:tbl>
      <w:tblPr>
        <w:tblStyle w:val="33"/>
        <w:tblW w:w="9840" w:type="dxa"/>
        <w:jc w:val="center"/>
        <w:tblLayout w:type="fixed"/>
        <w:tblCellMar>
          <w:top w:w="0" w:type="dxa"/>
          <w:left w:w="108" w:type="dxa"/>
          <w:bottom w:w="0" w:type="dxa"/>
          <w:right w:w="108" w:type="dxa"/>
        </w:tblCellMar>
      </w:tblPr>
      <w:tblGrid>
        <w:gridCol w:w="9840"/>
      </w:tblGrid>
      <w:tr>
        <w:tblPrEx>
          <w:tblCellMar>
            <w:top w:w="0" w:type="dxa"/>
            <w:left w:w="108" w:type="dxa"/>
            <w:bottom w:w="0" w:type="dxa"/>
            <w:right w:w="108" w:type="dxa"/>
          </w:tblCellMar>
        </w:tblPrEx>
        <w:trPr>
          <w:trHeight w:val="794" w:hRule="exact"/>
          <w:jc w:val="center"/>
        </w:trPr>
        <w:tc>
          <w:tcPr>
            <w:tcW w:w="984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18-</w:t>
            </w:r>
            <w:r>
              <w:rPr>
                <w:rFonts w:hint="eastAsia" w:eastAsia="宋体"/>
                <w:color w:val="000000"/>
                <w:szCs w:val="22"/>
              </w:rPr>
              <w:t>1</w:t>
            </w:r>
          </w:p>
          <w:p>
            <w:pPr>
              <w:ind w:left="240" w:right="240"/>
              <w:jc w:val="center"/>
              <w:rPr>
                <w:rFonts w:eastAsia="宋体"/>
                <w:szCs w:val="22"/>
              </w:rPr>
            </w:pPr>
            <w:r>
              <w:rPr>
                <w:rFonts w:ascii="宋体" w:hAnsi="宋体" w:eastAsia="宋体" w:cs="宋体"/>
                <w:sz w:val="22"/>
              </w:rPr>
              <w:t>附表18-1为空表（略）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tbl>
      <w:tblPr>
        <w:tblStyle w:val="33"/>
        <w:tblW w:w="9840" w:type="dxa"/>
        <w:jc w:val="center"/>
        <w:tblLayout w:type="fixed"/>
        <w:tblCellMar>
          <w:top w:w="0" w:type="dxa"/>
          <w:left w:w="108" w:type="dxa"/>
          <w:bottom w:w="0" w:type="dxa"/>
          <w:right w:w="108" w:type="dxa"/>
        </w:tblCellMar>
      </w:tblPr>
      <w:tblGrid>
        <w:gridCol w:w="9840"/>
      </w:tblGrid>
      <w:tr>
        <w:tblPrEx>
          <w:tblCellMar>
            <w:top w:w="0" w:type="dxa"/>
            <w:left w:w="108" w:type="dxa"/>
            <w:bottom w:w="0" w:type="dxa"/>
            <w:right w:w="108" w:type="dxa"/>
          </w:tblCellMar>
        </w:tblPrEx>
        <w:trPr>
          <w:trHeight w:val="794" w:hRule="exact"/>
          <w:jc w:val="center"/>
        </w:trPr>
        <w:tc>
          <w:tcPr>
            <w:tcW w:w="984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18-</w:t>
            </w:r>
            <w:r>
              <w:rPr>
                <w:rFonts w:hint="eastAsia" w:eastAsia="宋体"/>
                <w:color w:val="000000"/>
                <w:szCs w:val="22"/>
              </w:rPr>
              <w:t>2</w:t>
            </w:r>
          </w:p>
          <w:p>
            <w:pPr>
              <w:ind w:left="240" w:right="240"/>
              <w:jc w:val="center"/>
              <w:rPr>
                <w:rFonts w:eastAsia="宋体"/>
                <w:szCs w:val="22"/>
              </w:rPr>
            </w:pPr>
            <w:r>
              <w:rPr>
                <w:rFonts w:ascii="宋体" w:hAnsi="宋体" w:eastAsia="宋体" w:cs="宋体"/>
                <w:sz w:val="22"/>
              </w:rPr>
              <w:t>附表18-2为空表（略）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19</w:t>
      </w:r>
      <w:r>
        <w:rPr>
          <w:rFonts w:hint="eastAsia" w:ascii="宋体" w:hAnsi="宋体" w:eastAsia="宋体" w:cs="仿宋_GB2312"/>
          <w:sz w:val="24"/>
          <w:szCs w:val="24"/>
        </w:rPr>
        <w:t>）长期应付款明细信息如下：</w:t>
      </w: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794" w:hRule="exact"/>
          <w:jc w:val="center"/>
        </w:trPr>
        <w:tc>
          <w:tcPr>
            <w:tcW w:w="972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19</w:t>
            </w:r>
          </w:p>
          <w:p>
            <w:pPr>
              <w:ind w:left="240" w:right="240"/>
              <w:jc w:val="center"/>
              <w:rPr>
                <w:rFonts w:eastAsia="宋体"/>
                <w:szCs w:val="22"/>
              </w:rPr>
            </w:pPr>
            <w:r>
              <w:rPr>
                <w:rFonts w:ascii="宋体" w:hAnsi="宋体" w:eastAsia="宋体" w:cs="宋体"/>
                <w:sz w:val="22"/>
              </w:rPr>
              <w:t>附表19为空表（略）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20</w:t>
      </w:r>
      <w:r>
        <w:rPr>
          <w:rFonts w:hint="eastAsia" w:ascii="宋体" w:hAnsi="宋体" w:eastAsia="宋体" w:cs="仿宋_GB2312"/>
          <w:sz w:val="24"/>
          <w:szCs w:val="24"/>
        </w:rPr>
        <w:t>）事业收入明细信息如下：</w:t>
      </w: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794" w:hRule="exact"/>
          <w:jc w:val="center"/>
        </w:trPr>
        <w:tc>
          <w:tcPr>
            <w:tcW w:w="972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20</w:t>
            </w:r>
          </w:p>
          <w:p>
            <w:pPr>
              <w:ind w:left="240" w:right="240"/>
              <w:jc w:val="center"/>
              <w:rPr>
                <w:rFonts w:eastAsia="宋体"/>
                <w:szCs w:val="22"/>
              </w:rPr>
            </w:pPr>
            <w:r>
              <w:rPr>
                <w:rFonts w:ascii="宋体" w:hAnsi="宋体" w:eastAsia="宋体" w:cs="宋体"/>
                <w:sz w:val="22"/>
              </w:rPr>
              <w:t>附表20为空表（略）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21</w:t>
      </w:r>
      <w:r>
        <w:rPr>
          <w:rFonts w:hint="eastAsia" w:ascii="宋体" w:hAnsi="宋体" w:eastAsia="宋体" w:cs="仿宋_GB2312"/>
          <w:sz w:val="24"/>
          <w:szCs w:val="24"/>
        </w:rPr>
        <w:t>）经营收入明细信息如下：</w:t>
      </w:r>
      <w:bookmarkStart w:id="88" w:name="_GoBack"/>
      <w:bookmarkEnd w:id="88"/>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794" w:hRule="exact"/>
          <w:jc w:val="center"/>
        </w:trPr>
        <w:tc>
          <w:tcPr>
            <w:tcW w:w="972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21</w:t>
            </w:r>
          </w:p>
          <w:p>
            <w:pPr>
              <w:ind w:left="240" w:right="240"/>
              <w:jc w:val="center"/>
              <w:rPr>
                <w:rFonts w:eastAsia="宋体"/>
                <w:szCs w:val="22"/>
              </w:rPr>
            </w:pPr>
            <w:r>
              <w:rPr>
                <w:rFonts w:ascii="宋体" w:hAnsi="宋体" w:eastAsia="宋体" w:cs="宋体"/>
                <w:sz w:val="22"/>
              </w:rPr>
              <w:t>附表21为空表（略）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22</w:t>
      </w:r>
      <w:r>
        <w:rPr>
          <w:rFonts w:hint="eastAsia" w:ascii="宋体" w:hAnsi="宋体" w:eastAsia="宋体" w:cs="仿宋_GB2312"/>
          <w:sz w:val="24"/>
          <w:szCs w:val="24"/>
        </w:rPr>
        <w:t>）非同级财政拨款收入明细信息如下：</w:t>
      </w:r>
    </w:p>
    <w:tbl>
      <w:tblPr>
        <w:tblStyle w:val="33"/>
        <w:tblW w:w="9960" w:type="dxa"/>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794" w:hRule="exact"/>
          <w:jc w:val="center"/>
        </w:trPr>
        <w:tc>
          <w:tcPr>
            <w:tcW w:w="996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22</w:t>
            </w:r>
          </w:p>
          <w:p>
            <w:pPr>
              <w:ind w:left="240" w:right="240"/>
              <w:jc w:val="center"/>
              <w:rPr>
                <w:rFonts w:eastAsia="宋体"/>
                <w:szCs w:val="22"/>
              </w:rPr>
            </w:pPr>
            <w:r>
              <w:rPr>
                <w:rFonts w:ascii="宋体" w:hAnsi="宋体" w:eastAsia="宋体" w:cs="宋体"/>
                <w:sz w:val="22"/>
              </w:rPr>
              <w:t>附表22为空表（略）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（2</w:t>
      </w:r>
      <w:r>
        <w:rPr>
          <w:rFonts w:ascii="宋体" w:hAnsi="宋体" w:eastAsia="宋体" w:cs="仿宋_GB2312"/>
          <w:sz w:val="24"/>
          <w:szCs w:val="24"/>
        </w:rPr>
        <w:t>3</w:t>
      </w:r>
      <w:r>
        <w:rPr>
          <w:rFonts w:hint="eastAsia" w:ascii="宋体" w:hAnsi="宋体" w:eastAsia="宋体" w:cs="仿宋_GB2312"/>
          <w:sz w:val="24"/>
          <w:szCs w:val="24"/>
        </w:rPr>
        <w:t>）租金收入明细信息如下：</w:t>
      </w:r>
    </w:p>
    <w:tbl>
      <w:tblPr>
        <w:tblStyle w:val="33"/>
        <w:tblW w:w="9960" w:type="dxa"/>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794" w:hRule="exact"/>
          <w:jc w:val="center"/>
        </w:trPr>
        <w:tc>
          <w:tcPr>
            <w:tcW w:w="996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23</w:t>
            </w:r>
          </w:p>
          <w:p>
            <w:pPr>
              <w:ind w:left="240" w:right="240"/>
              <w:jc w:val="center"/>
              <w:rPr>
                <w:rFonts w:eastAsia="宋体"/>
                <w:szCs w:val="22"/>
              </w:rPr>
            </w:pPr>
            <w:r>
              <w:rPr>
                <w:rFonts w:ascii="宋体" w:hAnsi="宋体" w:eastAsia="宋体" w:cs="宋体"/>
                <w:sz w:val="22"/>
              </w:rPr>
              <w:t>附表23为空表（略）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（2</w:t>
      </w:r>
      <w:r>
        <w:rPr>
          <w:rFonts w:ascii="宋体" w:hAnsi="宋体" w:eastAsia="宋体" w:cs="仿宋_GB2312"/>
          <w:sz w:val="24"/>
          <w:szCs w:val="24"/>
        </w:rPr>
        <w:t>4</w:t>
      </w:r>
      <w:r>
        <w:rPr>
          <w:rFonts w:hint="eastAsia" w:ascii="宋体" w:hAnsi="宋体" w:eastAsia="宋体" w:cs="仿宋_GB2312"/>
          <w:sz w:val="24"/>
          <w:szCs w:val="24"/>
        </w:rPr>
        <w:t>）其他收入明细信息如下：</w:t>
      </w:r>
    </w:p>
    <w:tbl>
      <w:tblPr>
        <w:tblStyle w:val="33"/>
        <w:tblW w:w="9716" w:type="dxa"/>
        <w:jc w:val="center"/>
        <w:tblLayout w:type="fixed"/>
        <w:tblCellMar>
          <w:top w:w="0" w:type="dxa"/>
          <w:left w:w="108" w:type="dxa"/>
          <w:bottom w:w="0" w:type="dxa"/>
          <w:right w:w="108" w:type="dxa"/>
        </w:tblCellMar>
      </w:tblPr>
      <w:tblGrid>
        <w:gridCol w:w="9716"/>
      </w:tblGrid>
      <w:tr>
        <w:tblPrEx>
          <w:tblCellMar>
            <w:top w:w="0" w:type="dxa"/>
            <w:left w:w="108" w:type="dxa"/>
            <w:bottom w:w="0" w:type="dxa"/>
            <w:right w:w="108" w:type="dxa"/>
          </w:tblCellMar>
        </w:tblPrEx>
        <w:trPr>
          <w:trHeight w:val="397" w:hRule="exact"/>
          <w:jc w:val="center"/>
        </w:trPr>
        <w:tc>
          <w:tcPr>
            <w:tcW w:w="9716" w:type="dxa"/>
            <w:tcBorders>
              <w:top w:val="nil"/>
              <w:left w:val="nil"/>
              <w:bottom w:val="nil"/>
              <w:right w:val="nil"/>
            </w:tcBorders>
            <w:shd w:val="clear" w:color="FFFFFF" w:fill="FFFFFF"/>
            <w:vAlign w:val="center"/>
          </w:tcPr>
          <w:p>
            <w:pPr>
              <w:spacing w:after="101"/>
              <w:ind w:right="240"/>
              <w:rPr>
                <w:rFonts w:eastAsia="宋体"/>
                <w:szCs w:val="22"/>
              </w:rPr>
            </w:pPr>
            <w:r>
              <w:rPr>
                <w:rFonts w:hint="eastAsia" w:eastAsia="宋体"/>
                <w:color w:val="000000"/>
                <w:szCs w:val="22"/>
              </w:rPr>
              <w:t>附表2</w:t>
            </w:r>
            <w:r>
              <w:rPr>
                <w:rFonts w:eastAsia="宋体"/>
                <w:color w:val="000000"/>
                <w:szCs w:val="22"/>
              </w:rPr>
              <w:t>4</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（2</w:t>
      </w:r>
      <w:r>
        <w:rPr>
          <w:rFonts w:ascii="宋体" w:hAnsi="宋体" w:eastAsia="宋体" w:cs="仿宋_GB2312"/>
          <w:sz w:val="24"/>
          <w:szCs w:val="24"/>
        </w:rPr>
        <w:t>5</w:t>
      </w:r>
      <w:r>
        <w:rPr>
          <w:rFonts w:hint="eastAsia" w:ascii="宋体" w:hAnsi="宋体" w:eastAsia="宋体" w:cs="仿宋_GB2312"/>
          <w:sz w:val="24"/>
          <w:szCs w:val="24"/>
        </w:rPr>
        <w:t>）业务活动费用明细信息如下：</w:t>
      </w: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397" w:hRule="exact"/>
          <w:jc w:val="center"/>
        </w:trPr>
        <w:tc>
          <w:tcPr>
            <w:tcW w:w="972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25</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9720" w:type="dxa"/>
            <w:tcBorders>
              <w:top w:val="nil"/>
              <w:left w:val="nil"/>
              <w:bottom w:val="nil"/>
              <w:right w:val="nil"/>
            </w:tcBorders>
            <w:shd w:val="clear" w:color="FFFFFF" w:fill="FFFFFF"/>
            <w:vAlign w:val="center"/>
          </w:tcPr>
          <w:p>
            <w:pPr>
              <w:ind w:left="240" w:right="240"/>
              <w:jc w:val="center"/>
              <w:rPr>
                <w:rFonts w:eastAsia="宋体"/>
                <w:b/>
                <w:bCs/>
                <w:sz w:val="24"/>
              </w:rPr>
            </w:pPr>
            <w:r>
              <w:rPr>
                <w:rFonts w:hint="eastAsia" w:eastAsia="宋体"/>
                <w:b/>
                <w:bCs/>
                <w:sz w:val="24"/>
              </w:rPr>
              <w:t>业务活动费用明细表</w:t>
            </w:r>
          </w:p>
        </w:tc>
      </w:tr>
      <w:tr>
        <w:tblPrEx>
          <w:tblCellMar>
            <w:top w:w="0" w:type="dxa"/>
            <w:left w:w="108" w:type="dxa"/>
            <w:bottom w:w="0" w:type="dxa"/>
            <w:right w:w="108" w:type="dxa"/>
          </w:tblCellMar>
        </w:tblPrEx>
        <w:trPr>
          <w:trHeight w:val="397" w:hRule="exact"/>
          <w:jc w:val="center"/>
        </w:trPr>
        <w:tc>
          <w:tcPr>
            <w:tcW w:w="9720" w:type="dxa"/>
            <w:tcBorders>
              <w:top w:val="nil"/>
              <w:left w:val="nil"/>
              <w:bottom w:val="nil"/>
              <w:right w:val="nil"/>
            </w:tcBorders>
            <w:shd w:val="clear" w:color="FFFFFF" w:fill="FFFFFF"/>
            <w:vAlign w:val="center"/>
          </w:tcPr>
          <w:p>
            <w:pPr>
              <w:ind w:left="240" w:right="50"/>
              <w:jc w:val="right"/>
              <w:rPr>
                <w:rFonts w:eastAsia="宋体"/>
                <w:b/>
                <w:bCs/>
                <w:szCs w:val="22"/>
              </w:rPr>
            </w:pPr>
            <w:r>
              <w:rPr>
                <w:rFonts w:hint="eastAsia" w:eastAsia="宋体"/>
                <w:szCs w:val="22"/>
              </w:rPr>
              <w:t>单位：万元</w:t>
            </w:r>
          </w:p>
        </w:tc>
      </w:tr>
    </w:tbl>
    <w:p>
      <w:pPr>
        <w:tabs>
          <w:tab w:val="left" w:pos="4242"/>
          <w:tab w:val="left" w:pos="6754"/>
        </w:tabs>
        <w:spacing w:line="20" w:lineRule="exact"/>
        <w:ind w:left="240" w:right="240"/>
        <w:rPr>
          <w:b/>
          <w:bCs/>
          <w:sz w:val="20"/>
          <w:szCs w:val="20"/>
        </w:rPr>
      </w:pPr>
    </w:p>
    <w:tbl>
      <w:tblPr>
        <w:tblStyle w:val="34"/>
        <w:tblW w:w="96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6"/>
        <w:gridCol w:w="2693"/>
        <w:gridCol w:w="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06" w:type="dxa"/>
            <w:tcBorders>
              <w:top w:val="single" w:color="auto" w:sz="12" w:space="0"/>
              <w:bottom w:val="single" w:color="auto" w:sz="4" w:space="0"/>
            </w:tcBorders>
            <w:shd w:val="clear" w:color="FFFFFF" w:fill="FFFFFF"/>
            <w:vAlign w:val="center"/>
          </w:tcPr>
          <w:p>
            <w:pPr>
              <w:widowControl/>
              <w:ind w:left="240" w:right="240"/>
              <w:jc w:val="center"/>
              <w:rPr>
                <w:rFonts w:eastAsia="宋体"/>
                <w:b/>
                <w:bCs/>
                <w:szCs w:val="22"/>
              </w:rPr>
            </w:pPr>
            <w:r>
              <w:rPr>
                <w:rFonts w:hint="eastAsia" w:eastAsia="宋体"/>
                <w:b/>
                <w:bCs/>
                <w:szCs w:val="22"/>
              </w:rPr>
              <w:t>项目</w:t>
            </w:r>
          </w:p>
        </w:tc>
        <w:tc>
          <w:tcPr>
            <w:tcW w:w="2693" w:type="dxa"/>
            <w:tcBorders>
              <w:top w:val="single" w:color="auto" w:sz="12" w:space="0"/>
              <w:bottom w:val="single" w:color="auto" w:sz="4" w:space="0"/>
            </w:tcBorders>
            <w:shd w:val="clear" w:color="FFFFFF" w:fill="FFFFFF"/>
            <w:vAlign w:val="center"/>
          </w:tcPr>
          <w:p>
            <w:pPr>
              <w:widowControl w:val="0"/>
              <w:ind w:left="240" w:right="240"/>
              <w:jc w:val="center"/>
              <w:rPr>
                <w:rFonts w:eastAsia="宋体"/>
                <w:b/>
                <w:bCs/>
                <w:szCs w:val="22"/>
              </w:rPr>
            </w:pPr>
            <w:r>
              <w:rPr>
                <w:rFonts w:hint="eastAsia" w:eastAsia="宋体"/>
                <w:b/>
                <w:bCs/>
                <w:szCs w:val="22"/>
              </w:rPr>
              <w:t>本年数</w:t>
            </w:r>
          </w:p>
        </w:tc>
        <w:tc>
          <w:tcPr>
            <w:tcW w:w="2552" w:type="dxa"/>
            <w:tcBorders>
              <w:top w:val="single" w:color="auto" w:sz="12" w:space="0"/>
              <w:bottom w:val="single" w:color="auto" w:sz="4" w:space="0"/>
            </w:tcBorders>
            <w:shd w:val="clear" w:color="FFFFFF" w:fill="FFFFFF"/>
            <w:vAlign w:val="center"/>
          </w:tcPr>
          <w:p>
            <w:pPr>
              <w:widowControl w:val="0"/>
              <w:ind w:left="240" w:right="240"/>
              <w:jc w:val="center"/>
              <w:rPr>
                <w:rFonts w:eastAsia="宋体"/>
                <w:b/>
                <w:bCs/>
                <w:szCs w:val="22"/>
              </w:rPr>
            </w:pPr>
            <w:r>
              <w:rPr>
                <w:rFonts w:hint="eastAsia" w:eastAsia="宋体"/>
                <w:b/>
                <w:bCs/>
                <w:szCs w:val="22"/>
              </w:rPr>
              <w:t>上年数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exact"/>
        </w:trPr>
        <w:tc>
          <w:tcPr>
            <w:tcW w:w="4406" w:type="dxa"/>
            <w:tcBorders>
              <w:top w:val="single" w:color="auto" w:sz="4" w:space="0"/>
            </w:tcBorders>
            <w:shd w:val="clear" w:color="FFFFFF" w:fill="FFFFFF"/>
          </w:tcPr>
          <w:p>
            <w:pPr>
              <w:widowControl w:val="0"/>
              <w:ind w:left="240" w:right="240"/>
              <w:jc w:val="both"/>
              <w:rPr>
                <w:rFonts w:eastAsia="宋体"/>
                <w:szCs w:val="22"/>
              </w:rPr>
            </w:pPr>
          </w:p>
        </w:tc>
        <w:tc>
          <w:tcPr>
            <w:tcW w:w="2693" w:type="dxa"/>
            <w:tcBorders>
              <w:top w:val="single" w:color="auto" w:sz="4" w:space="0"/>
            </w:tcBorders>
            <w:shd w:val="clear" w:color="FFFFFF" w:fill="FFFFFF"/>
          </w:tcPr>
          <w:p>
            <w:pPr>
              <w:widowControl w:val="0"/>
              <w:ind w:left="240" w:right="240"/>
              <w:jc w:val="both"/>
              <w:rPr>
                <w:rFonts w:eastAsia="宋体"/>
                <w:szCs w:val="22"/>
              </w:rPr>
            </w:pPr>
          </w:p>
        </w:tc>
        <w:tc>
          <w:tcPr>
            <w:tcW w:w="2552" w:type="dxa"/>
            <w:tcBorders>
              <w:top w:val="single" w:color="auto" w:sz="4" w:space="0"/>
            </w:tcBorders>
            <w:shd w:val="clear" w:color="FFFFFF" w:fill="FFFFFF"/>
          </w:tcPr>
          <w:p>
            <w:pPr>
              <w:widowControl w:val="0"/>
              <w:ind w:left="240" w:right="240"/>
              <w:jc w:val="both"/>
              <w:rPr>
                <w:rFonts w:eastAsia="宋体"/>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u w:val="none"/>
              </w:rPr>
              <w:t xml:space="preserve">  工资和福利费用</w:t>
            </w:r>
          </w:p>
        </w:tc>
        <w:tc>
          <w:tcPr>
            <w:tcW w:w="26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auto"/>
                <w:position w:val="-1"/>
                <w:u w:val="none"/>
              </w:rPr>
              <w:t>125.86</w:t>
            </w:r>
          </w:p>
        </w:tc>
        <w:tc>
          <w:tcPr>
            <w:tcW w:w="2552" w:type="dxa"/>
            <w:shd w:val="clear" w:color="FFFFFF" w:fill="FFFFFF"/>
          </w:tcPr>
          <w:p>
            <w:pPr>
              <w:pageBreakBefore w:val="0"/>
              <w:widowControl w:val="0"/>
              <w:ind w:right="-51" w:rightChars="-23"/>
              <w:jc w:val="right"/>
              <w:textAlignment w:val="auto"/>
            </w:pPr>
            <w:r>
              <w:rPr>
                <w:rFonts w:ascii="Times New Roman" w:hAnsi="Times New Roman" w:eastAsia="Times New Roman" w:cs="Times New Roman"/>
                <w:b w:val="0"/>
                <w:i w:val="0"/>
                <w:color w:val="auto"/>
                <w:position w:val="-1"/>
                <w:u w:val="none"/>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u w:val="none"/>
              </w:rPr>
              <w:t xml:space="preserve">  商品和服务费用</w:t>
            </w:r>
          </w:p>
        </w:tc>
        <w:tc>
          <w:tcPr>
            <w:tcW w:w="26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auto"/>
                <w:position w:val="-1"/>
                <w:u w:val="none"/>
              </w:rPr>
              <w:t>16.01</w:t>
            </w:r>
          </w:p>
        </w:tc>
        <w:tc>
          <w:tcPr>
            <w:tcW w:w="2552" w:type="dxa"/>
            <w:shd w:val="clear" w:color="FFFFFF" w:fill="FFFFFF"/>
          </w:tcPr>
          <w:p>
            <w:pPr>
              <w:pageBreakBefore w:val="0"/>
              <w:widowControl w:val="0"/>
              <w:ind w:right="-51" w:rightChars="-23"/>
              <w:jc w:val="right"/>
              <w:textAlignment w:val="auto"/>
            </w:pPr>
            <w:r>
              <w:rPr>
                <w:rFonts w:ascii="Times New Roman" w:hAnsi="Times New Roman" w:eastAsia="Times New Roman" w:cs="Times New Roman"/>
                <w:b w:val="0"/>
                <w:i w:val="0"/>
                <w:color w:val="auto"/>
                <w:position w:val="-1"/>
                <w:u w:val="none"/>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u w:val="none"/>
              </w:rPr>
              <w:t xml:space="preserve">  对个人和家庭的补助费用</w:t>
            </w:r>
          </w:p>
        </w:tc>
        <w:tc>
          <w:tcPr>
            <w:tcW w:w="26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auto"/>
                <w:position w:val="-1"/>
                <w:u w:val="none"/>
              </w:rPr>
              <w:t>0.21</w:t>
            </w:r>
          </w:p>
        </w:tc>
        <w:tc>
          <w:tcPr>
            <w:tcW w:w="2552" w:type="dxa"/>
            <w:shd w:val="clear" w:color="FFFFFF" w:fill="FFFFFF"/>
          </w:tcPr>
          <w:p>
            <w:pPr>
              <w:pageBreakBefore w:val="0"/>
              <w:widowControl w:val="0"/>
              <w:ind w:right="-51" w:rightChars="-23"/>
              <w:jc w:val="right"/>
              <w:textAlignment w:val="auto"/>
            </w:pPr>
            <w:r>
              <w:rPr>
                <w:rFonts w:ascii="Times New Roman" w:hAnsi="Times New Roman" w:eastAsia="Times New Roman" w:cs="Times New Roman"/>
                <w:b w:val="0"/>
                <w:i w:val="0"/>
                <w:color w:val="auto"/>
                <w:position w:val="-1"/>
                <w:u w:val="none"/>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u w:val="none"/>
              </w:rPr>
              <w:t xml:space="preserve">  对企业补助费用</w:t>
            </w:r>
          </w:p>
        </w:tc>
        <w:tc>
          <w:tcPr>
            <w:tcW w:w="26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auto"/>
                <w:position w:val="-1"/>
                <w:u w:val="none"/>
              </w:rPr>
              <w:t>0.00</w:t>
            </w:r>
          </w:p>
        </w:tc>
        <w:tc>
          <w:tcPr>
            <w:tcW w:w="2552" w:type="dxa"/>
            <w:shd w:val="clear" w:color="FFFFFF" w:fill="FFFFFF"/>
          </w:tcPr>
          <w:p>
            <w:pPr>
              <w:pageBreakBefore w:val="0"/>
              <w:widowControl w:val="0"/>
              <w:ind w:right="-51" w:rightChars="-23"/>
              <w:jc w:val="right"/>
              <w:textAlignment w:val="auto"/>
            </w:pPr>
            <w:r>
              <w:rPr>
                <w:rFonts w:ascii="Times New Roman" w:hAnsi="Times New Roman" w:eastAsia="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u w:val="none"/>
              </w:rPr>
              <w:t xml:space="preserve">  固定资产折旧费用</w:t>
            </w:r>
          </w:p>
        </w:tc>
        <w:tc>
          <w:tcPr>
            <w:tcW w:w="26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auto"/>
                <w:position w:val="-1"/>
                <w:u w:val="none"/>
              </w:rPr>
              <w:t>0.00</w:t>
            </w:r>
          </w:p>
        </w:tc>
        <w:tc>
          <w:tcPr>
            <w:tcW w:w="2552" w:type="dxa"/>
            <w:shd w:val="clear" w:color="FFFFFF" w:fill="FFFFFF"/>
          </w:tcPr>
          <w:p>
            <w:pPr>
              <w:pageBreakBefore w:val="0"/>
              <w:widowControl w:val="0"/>
              <w:ind w:right="-51" w:rightChars="-23"/>
              <w:jc w:val="right"/>
              <w:textAlignment w:val="auto"/>
            </w:pPr>
            <w:r>
              <w:rPr>
                <w:rFonts w:ascii="Times New Roman" w:hAnsi="Times New Roman" w:eastAsia="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u w:val="none"/>
              </w:rPr>
              <w:t xml:space="preserve">  无形资产摊销费用</w:t>
            </w:r>
          </w:p>
        </w:tc>
        <w:tc>
          <w:tcPr>
            <w:tcW w:w="26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auto"/>
                <w:position w:val="-1"/>
                <w:u w:val="none"/>
              </w:rPr>
              <w:t>0.00</w:t>
            </w:r>
          </w:p>
        </w:tc>
        <w:tc>
          <w:tcPr>
            <w:tcW w:w="2552" w:type="dxa"/>
            <w:shd w:val="clear" w:color="FFFFFF" w:fill="FFFFFF"/>
          </w:tcPr>
          <w:p>
            <w:pPr>
              <w:pageBreakBefore w:val="0"/>
              <w:widowControl w:val="0"/>
              <w:ind w:right="-51" w:rightChars="-23"/>
              <w:jc w:val="right"/>
              <w:textAlignment w:val="auto"/>
            </w:pPr>
            <w:r>
              <w:rPr>
                <w:rFonts w:ascii="Times New Roman" w:hAnsi="Times New Roman" w:eastAsia="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u w:val="none"/>
              </w:rPr>
              <w:t xml:space="preserve">  公共基础设施折旧（摊销）费用</w:t>
            </w:r>
          </w:p>
        </w:tc>
        <w:tc>
          <w:tcPr>
            <w:tcW w:w="26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auto"/>
                <w:position w:val="-1"/>
                <w:u w:val="none"/>
              </w:rPr>
              <w:t>0.00</w:t>
            </w:r>
          </w:p>
        </w:tc>
        <w:tc>
          <w:tcPr>
            <w:tcW w:w="2552" w:type="dxa"/>
            <w:shd w:val="clear" w:color="FFFFFF" w:fill="FFFFFF"/>
          </w:tcPr>
          <w:p>
            <w:pPr>
              <w:pageBreakBefore w:val="0"/>
              <w:widowControl w:val="0"/>
              <w:ind w:right="-51" w:rightChars="-23"/>
              <w:jc w:val="right"/>
              <w:textAlignment w:val="auto"/>
            </w:pPr>
            <w:r>
              <w:rPr>
                <w:rFonts w:ascii="Times New Roman" w:hAnsi="Times New Roman" w:eastAsia="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u w:val="none"/>
              </w:rPr>
              <w:t xml:space="preserve">  保障性住房折旧费用</w:t>
            </w:r>
          </w:p>
        </w:tc>
        <w:tc>
          <w:tcPr>
            <w:tcW w:w="26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auto"/>
                <w:position w:val="-1"/>
                <w:u w:val="none"/>
              </w:rPr>
              <w:t>0.00</w:t>
            </w:r>
          </w:p>
        </w:tc>
        <w:tc>
          <w:tcPr>
            <w:tcW w:w="2552" w:type="dxa"/>
            <w:shd w:val="clear" w:color="FFFFFF" w:fill="FFFFFF"/>
          </w:tcPr>
          <w:p>
            <w:pPr>
              <w:pageBreakBefore w:val="0"/>
              <w:widowControl w:val="0"/>
              <w:ind w:right="-51" w:rightChars="-23"/>
              <w:jc w:val="right"/>
              <w:textAlignment w:val="auto"/>
            </w:pPr>
            <w:r>
              <w:rPr>
                <w:rFonts w:ascii="Times New Roman" w:hAnsi="Times New Roman" w:eastAsia="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u w:val="none"/>
              </w:rPr>
              <w:t xml:space="preserve">  计提专用基金</w:t>
            </w:r>
          </w:p>
        </w:tc>
        <w:tc>
          <w:tcPr>
            <w:tcW w:w="26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auto"/>
                <w:position w:val="-1"/>
                <w:u w:val="none"/>
              </w:rPr>
              <w:t>0.00</w:t>
            </w:r>
          </w:p>
        </w:tc>
        <w:tc>
          <w:tcPr>
            <w:tcW w:w="2552" w:type="dxa"/>
            <w:shd w:val="clear" w:color="FFFFFF" w:fill="FFFFFF"/>
          </w:tcPr>
          <w:p>
            <w:pPr>
              <w:pageBreakBefore w:val="0"/>
              <w:widowControl w:val="0"/>
              <w:ind w:right="-51" w:rightChars="-23"/>
              <w:jc w:val="right"/>
              <w:textAlignment w:val="auto"/>
            </w:pPr>
            <w:r>
              <w:rPr>
                <w:rFonts w:ascii="Times New Roman" w:hAnsi="Times New Roman" w:eastAsia="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Times New Roman" w:hAnsi="Times New Roman" w:eastAsia="Times New Roman" w:cs="Times New Roman"/>
                <w:b w:val="0"/>
                <w:i w:val="0"/>
                <w:color w:val="auto"/>
                <w:position w:val="-1"/>
                <w:u w:val="none"/>
              </w:rPr>
              <w:t xml:space="preserve">  其他业务活动费用</w:t>
            </w:r>
          </w:p>
        </w:tc>
        <w:tc>
          <w:tcPr>
            <w:tcW w:w="26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auto"/>
                <w:position w:val="-1"/>
                <w:u w:val="none"/>
              </w:rPr>
              <w:t>0.00</w:t>
            </w:r>
          </w:p>
        </w:tc>
        <w:tc>
          <w:tcPr>
            <w:tcW w:w="2552" w:type="dxa"/>
            <w:shd w:val="clear" w:color="FFFFFF" w:fill="FFFFFF"/>
          </w:tcPr>
          <w:p>
            <w:pPr>
              <w:pageBreakBefore w:val="0"/>
              <w:widowControl w:val="0"/>
              <w:ind w:right="-51" w:rightChars="-23"/>
              <w:jc w:val="right"/>
              <w:textAlignment w:val="auto"/>
            </w:pPr>
            <w:r>
              <w:rPr>
                <w:rFonts w:ascii="Times New Roman" w:hAnsi="Times New Roman" w:eastAsia="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406" w:type="dxa"/>
            <w:tcBorders>
              <w:top w:val="single" w:color="auto" w:sz="4" w:space="0"/>
              <w:bottom w:val="single" w:color="auto" w:sz="12" w:space="0"/>
            </w:tcBorders>
            <w:shd w:val="clear" w:color="FFFFFF" w:fill="FFFFFF"/>
          </w:tcPr>
          <w:p>
            <w:pPr>
              <w:pageBreakBefore w:val="0"/>
              <w:widowControl w:val="0"/>
              <w:ind w:right="240"/>
              <w:jc w:val="center"/>
              <w:textAlignment w:val="auto"/>
            </w:pPr>
            <w:r>
              <w:rPr>
                <w:rFonts w:ascii="Times New Roman" w:hAnsi="Times New Roman" w:eastAsia="Times New Roman" w:cs="Times New Roman"/>
                <w:b/>
                <w:i w:val="0"/>
                <w:color w:val="auto"/>
                <w:position w:val="-1"/>
                <w:u w:val="none"/>
              </w:rPr>
              <w:t>合计</w:t>
            </w:r>
          </w:p>
        </w:tc>
        <w:tc>
          <w:tcPr>
            <w:tcW w:w="2693" w:type="dxa"/>
            <w:tcBorders>
              <w:top w:val="single" w:color="auto" w:sz="4" w:space="0"/>
              <w:bottom w:val="single" w:color="auto" w:sz="12" w:space="0"/>
            </w:tcBorders>
            <w:shd w:val="clear" w:color="FFFFFF" w:fill="FFFFFF"/>
          </w:tcPr>
          <w:p>
            <w:pPr>
              <w:pageBreakBefore w:val="0"/>
              <w:widowControl w:val="0"/>
              <w:jc w:val="right"/>
              <w:textAlignment w:val="auto"/>
            </w:pPr>
            <w:r>
              <w:rPr>
                <w:rFonts w:ascii="Times New Roman" w:hAnsi="Times New Roman" w:eastAsia="Times New Roman" w:cs="Times New Roman"/>
                <w:b w:val="0"/>
                <w:i w:val="0"/>
                <w:color w:val="auto"/>
                <w:position w:val="-1"/>
                <w:u w:val="none"/>
              </w:rPr>
              <w:t>142.08</w:t>
            </w:r>
          </w:p>
        </w:tc>
        <w:tc>
          <w:tcPr>
            <w:tcW w:w="2552" w:type="dxa"/>
            <w:tcBorders>
              <w:top w:val="single" w:color="auto" w:sz="4" w:space="0"/>
              <w:bottom w:val="single" w:color="auto" w:sz="12" w:space="0"/>
            </w:tcBorders>
            <w:shd w:val="clear" w:color="FFFFFF" w:fill="FFFFFF"/>
          </w:tcPr>
          <w:p>
            <w:pPr>
              <w:pageBreakBefore w:val="0"/>
              <w:widowControl w:val="0"/>
              <w:ind w:right="-51" w:rightChars="-23"/>
              <w:jc w:val="right"/>
              <w:textAlignment w:val="auto"/>
            </w:pPr>
            <w:r>
              <w:rPr>
                <w:rFonts w:ascii="Times New Roman" w:hAnsi="Times New Roman" w:eastAsia="Times New Roman" w:cs="Times New Roman"/>
                <w:b w:val="0"/>
                <w:i w:val="0"/>
                <w:color w:val="auto"/>
                <w:position w:val="-1"/>
                <w:u w:val="none"/>
              </w:rPr>
              <w:t>120.51</w:t>
            </w:r>
          </w:p>
        </w:tc>
      </w:tr>
    </w:tbl>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（2</w:t>
      </w:r>
      <w:r>
        <w:rPr>
          <w:rFonts w:ascii="宋体" w:hAnsi="宋体" w:eastAsia="宋体" w:cs="仿宋_GB2312"/>
          <w:sz w:val="24"/>
          <w:szCs w:val="24"/>
        </w:rPr>
        <w:t>6</w:t>
      </w:r>
      <w:r>
        <w:rPr>
          <w:rFonts w:hint="eastAsia" w:ascii="宋体" w:hAnsi="宋体" w:eastAsia="宋体" w:cs="仿宋_GB2312"/>
          <w:sz w:val="24"/>
          <w:szCs w:val="24"/>
        </w:rPr>
        <w:t>）单位管理费用明细信息如下：</w:t>
      </w:r>
    </w:p>
    <w:tbl>
      <w:tblPr>
        <w:tblStyle w:val="33"/>
        <w:tblW w:w="9840" w:type="dxa"/>
        <w:jc w:val="center"/>
        <w:tblLayout w:type="fixed"/>
        <w:tblCellMar>
          <w:top w:w="0" w:type="dxa"/>
          <w:left w:w="108" w:type="dxa"/>
          <w:bottom w:w="0" w:type="dxa"/>
          <w:right w:w="108" w:type="dxa"/>
        </w:tblCellMar>
      </w:tblPr>
      <w:tblGrid>
        <w:gridCol w:w="9840"/>
      </w:tblGrid>
      <w:tr>
        <w:tblPrEx>
          <w:tblCellMar>
            <w:top w:w="0" w:type="dxa"/>
            <w:left w:w="108" w:type="dxa"/>
            <w:bottom w:w="0" w:type="dxa"/>
            <w:right w:w="108" w:type="dxa"/>
          </w:tblCellMar>
        </w:tblPrEx>
        <w:trPr>
          <w:trHeight w:val="794" w:hRule="exact"/>
          <w:jc w:val="center"/>
        </w:trPr>
        <w:tc>
          <w:tcPr>
            <w:tcW w:w="9840"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26</w:t>
            </w:r>
          </w:p>
          <w:p>
            <w:pPr>
              <w:ind w:left="240" w:right="240"/>
              <w:jc w:val="center"/>
              <w:rPr>
                <w:rFonts w:eastAsia="宋体"/>
                <w:szCs w:val="22"/>
              </w:rPr>
            </w:pPr>
            <w:r>
              <w:rPr>
                <w:rFonts w:ascii="宋体" w:hAnsi="宋体" w:eastAsia="宋体" w:cs="宋体"/>
                <w:sz w:val="22"/>
              </w:rPr>
              <w:t>附表26为空表（略）</w:t>
            </w:r>
          </w:p>
        </w:tc>
      </w:tr>
    </w:tbl>
    <w:p>
      <w:pPr>
        <w:tabs>
          <w:tab w:val="left" w:pos="4242"/>
          <w:tab w:val="left" w:pos="6754"/>
        </w:tabs>
        <w:spacing w:line="20" w:lineRule="exact"/>
        <w:ind w:left="240" w:right="240"/>
        <w:rPr>
          <w:b/>
          <w:bCs/>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（2</w:t>
      </w:r>
      <w:r>
        <w:rPr>
          <w:rFonts w:ascii="宋体" w:hAnsi="宋体" w:eastAsia="宋体" w:cs="仿宋_GB2312"/>
          <w:sz w:val="24"/>
          <w:szCs w:val="24"/>
        </w:rPr>
        <w:t>7</w:t>
      </w:r>
      <w:r>
        <w:rPr>
          <w:rFonts w:hint="eastAsia" w:ascii="宋体" w:hAnsi="宋体" w:eastAsia="宋体" w:cs="仿宋_GB2312"/>
          <w:sz w:val="24"/>
          <w:szCs w:val="24"/>
        </w:rPr>
        <w:t>）经营费用明细信息如下：</w:t>
      </w:r>
    </w:p>
    <w:tbl>
      <w:tblPr>
        <w:tblStyle w:val="33"/>
        <w:tblW w:w="9764" w:type="dxa"/>
        <w:jc w:val="center"/>
        <w:tblLayout w:type="fixed"/>
        <w:tblCellMar>
          <w:top w:w="0" w:type="dxa"/>
          <w:left w:w="108" w:type="dxa"/>
          <w:bottom w:w="0" w:type="dxa"/>
          <w:right w:w="108" w:type="dxa"/>
        </w:tblCellMar>
      </w:tblPr>
      <w:tblGrid>
        <w:gridCol w:w="9764"/>
      </w:tblGrid>
      <w:tr>
        <w:tblPrEx>
          <w:tblCellMar>
            <w:top w:w="0" w:type="dxa"/>
            <w:left w:w="108" w:type="dxa"/>
            <w:bottom w:w="0" w:type="dxa"/>
            <w:right w:w="108" w:type="dxa"/>
          </w:tblCellMar>
        </w:tblPrEx>
        <w:trPr>
          <w:trHeight w:val="794" w:hRule="exact"/>
          <w:jc w:val="center"/>
        </w:trPr>
        <w:tc>
          <w:tcPr>
            <w:tcW w:w="9764"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27</w:t>
            </w:r>
          </w:p>
          <w:p>
            <w:pPr>
              <w:ind w:left="240" w:right="240"/>
              <w:jc w:val="center"/>
              <w:rPr>
                <w:rFonts w:eastAsia="宋体"/>
                <w:szCs w:val="22"/>
              </w:rPr>
            </w:pPr>
            <w:r>
              <w:rPr>
                <w:rFonts w:ascii="宋体" w:hAnsi="宋体" w:eastAsia="宋体" w:cs="宋体"/>
                <w:sz w:val="22"/>
              </w:rPr>
              <w:t>附表27为空表（略）</w:t>
            </w:r>
          </w:p>
        </w:tc>
      </w:tr>
    </w:tbl>
    <w:p>
      <w:pPr>
        <w:tabs>
          <w:tab w:val="left" w:pos="4242"/>
          <w:tab w:val="left" w:pos="6754"/>
        </w:tabs>
        <w:spacing w:line="20" w:lineRule="exact"/>
        <w:ind w:left="240" w:right="240"/>
        <w:rPr>
          <w:b/>
          <w:bCs/>
          <w:sz w:val="20"/>
          <w:szCs w:val="20"/>
        </w:rPr>
      </w:pPr>
    </w:p>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（2</w:t>
      </w:r>
      <w:r>
        <w:rPr>
          <w:rFonts w:ascii="宋体" w:hAnsi="宋体" w:eastAsia="宋体" w:cs="仿宋_GB2312"/>
          <w:sz w:val="24"/>
          <w:szCs w:val="24"/>
        </w:rPr>
        <w:t>8</w:t>
      </w:r>
      <w:r>
        <w:rPr>
          <w:rFonts w:hint="eastAsia" w:ascii="宋体" w:hAnsi="宋体" w:eastAsia="宋体" w:cs="仿宋_GB2312"/>
          <w:sz w:val="24"/>
          <w:szCs w:val="24"/>
        </w:rPr>
        <w:t>）商品和服务费用明细信息如下：</w:t>
      </w:r>
    </w:p>
    <w:tbl>
      <w:tblPr>
        <w:tblStyle w:val="33"/>
        <w:tblW w:w="9923" w:type="dxa"/>
        <w:jc w:val="center"/>
        <w:tblLayout w:type="fixed"/>
        <w:tblCellMar>
          <w:top w:w="0" w:type="dxa"/>
          <w:left w:w="108" w:type="dxa"/>
          <w:bottom w:w="0" w:type="dxa"/>
          <w:right w:w="108" w:type="dxa"/>
        </w:tblCellMar>
      </w:tblPr>
      <w:tblGrid>
        <w:gridCol w:w="9923"/>
      </w:tblGrid>
      <w:tr>
        <w:tblPrEx>
          <w:tblCellMar>
            <w:top w:w="0" w:type="dxa"/>
            <w:left w:w="108" w:type="dxa"/>
            <w:bottom w:w="0" w:type="dxa"/>
            <w:right w:w="108" w:type="dxa"/>
          </w:tblCellMar>
        </w:tblPrEx>
        <w:trPr>
          <w:trHeight w:val="397" w:hRule="exact"/>
          <w:jc w:val="center"/>
        </w:trPr>
        <w:tc>
          <w:tcPr>
            <w:tcW w:w="9923"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28</w:t>
            </w:r>
          </w:p>
          <w:p>
            <w:pPr>
              <w:ind w:left="240" w:right="240"/>
              <w:rPr>
                <w:rFonts w:eastAsia="宋体"/>
                <w:szCs w:val="22"/>
              </w:rPr>
            </w:pPr>
          </w:p>
        </w:tc>
      </w:tr>
      <w:tr>
        <w:tblPrEx>
          <w:tblCellMar>
            <w:top w:w="0" w:type="dxa"/>
            <w:left w:w="108" w:type="dxa"/>
            <w:bottom w:w="0" w:type="dxa"/>
            <w:right w:w="108" w:type="dxa"/>
          </w:tblCellMar>
        </w:tblPrEx>
        <w:trPr>
          <w:trHeight w:val="397" w:hRule="exact"/>
          <w:jc w:val="center"/>
        </w:trPr>
        <w:tc>
          <w:tcPr>
            <w:tcW w:w="9923" w:type="dxa"/>
            <w:tcBorders>
              <w:top w:val="nil"/>
              <w:left w:val="nil"/>
              <w:bottom w:val="nil"/>
              <w:right w:val="nil"/>
            </w:tcBorders>
            <w:shd w:val="clear" w:color="FFFFFF" w:fill="FFFFFF"/>
            <w:vAlign w:val="center"/>
          </w:tcPr>
          <w:p>
            <w:pPr>
              <w:ind w:left="240" w:right="240"/>
              <w:jc w:val="center"/>
              <w:rPr>
                <w:rFonts w:eastAsia="宋体"/>
                <w:b/>
                <w:bCs/>
                <w:sz w:val="24"/>
              </w:rPr>
            </w:pPr>
            <w:r>
              <w:rPr>
                <w:rFonts w:hint="eastAsia" w:eastAsia="宋体"/>
                <w:b/>
                <w:bCs/>
                <w:sz w:val="24"/>
              </w:rPr>
              <w:t>商品和服务费用明细表</w:t>
            </w:r>
          </w:p>
        </w:tc>
      </w:tr>
      <w:tr>
        <w:tblPrEx>
          <w:tblCellMar>
            <w:top w:w="0" w:type="dxa"/>
            <w:left w:w="108" w:type="dxa"/>
            <w:bottom w:w="0" w:type="dxa"/>
            <w:right w:w="108" w:type="dxa"/>
          </w:tblCellMar>
        </w:tblPrEx>
        <w:trPr>
          <w:trHeight w:val="397" w:hRule="exact"/>
          <w:jc w:val="center"/>
        </w:trPr>
        <w:tc>
          <w:tcPr>
            <w:tcW w:w="9923" w:type="dxa"/>
            <w:tcBorders>
              <w:top w:val="nil"/>
              <w:left w:val="nil"/>
              <w:bottom w:val="nil"/>
              <w:right w:val="nil"/>
            </w:tcBorders>
            <w:shd w:val="clear" w:color="FFFFFF" w:fill="FFFFFF"/>
            <w:vAlign w:val="center"/>
          </w:tcPr>
          <w:p>
            <w:pPr>
              <w:ind w:left="240" w:right="50"/>
              <w:jc w:val="right"/>
              <w:rPr>
                <w:rFonts w:eastAsia="宋体"/>
                <w:b/>
                <w:bCs/>
                <w:szCs w:val="22"/>
              </w:rPr>
            </w:pPr>
            <w:r>
              <w:rPr>
                <w:rFonts w:hint="eastAsia" w:eastAsia="宋体"/>
                <w:szCs w:val="22"/>
              </w:rPr>
              <w:t>单位：万元</w:t>
            </w:r>
          </w:p>
        </w:tc>
      </w:tr>
    </w:tbl>
    <w:p>
      <w:pPr>
        <w:spacing w:line="20" w:lineRule="exact"/>
        <w:ind w:left="240" w:right="240"/>
        <w:jc w:val="right"/>
        <w:rPr>
          <w:sz w:val="20"/>
          <w:szCs w:val="20"/>
        </w:rPr>
      </w:pPr>
    </w:p>
    <w:tbl>
      <w:tblPr>
        <w:tblStyle w:val="34"/>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5"/>
        <w:gridCol w:w="1701"/>
        <w:gridCol w:w="1560"/>
        <w:gridCol w:w="1559"/>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555" w:type="dxa"/>
            <w:vMerge w:val="restart"/>
            <w:tcBorders>
              <w:top w:val="single" w:color="auto" w:sz="12" w:space="0"/>
            </w:tcBorders>
            <w:shd w:val="clear" w:color="FFFFFF" w:fill="FFFFFF"/>
            <w:vAlign w:val="center"/>
          </w:tcPr>
          <w:p>
            <w:pPr>
              <w:widowControl w:val="0"/>
              <w:spacing w:line="480" w:lineRule="auto"/>
              <w:ind w:left="240" w:right="240"/>
              <w:jc w:val="center"/>
              <w:rPr>
                <w:rFonts w:eastAsia="宋体"/>
                <w:b/>
                <w:szCs w:val="22"/>
              </w:rPr>
            </w:pPr>
            <w:r>
              <w:rPr>
                <w:rFonts w:hint="eastAsia" w:eastAsia="宋体"/>
                <w:b/>
                <w:szCs w:val="22"/>
              </w:rPr>
              <w:t>项目</w:t>
            </w:r>
          </w:p>
        </w:tc>
        <w:tc>
          <w:tcPr>
            <w:tcW w:w="6285" w:type="dxa"/>
            <w:gridSpan w:val="4"/>
            <w:tcBorders>
              <w:top w:val="single" w:color="auto" w:sz="12" w:space="0"/>
              <w:bottom w:val="single" w:color="auto" w:sz="4" w:space="0"/>
            </w:tcBorders>
            <w:shd w:val="clear" w:color="FFFFFF" w:fill="FFFFFF"/>
            <w:vAlign w:val="center"/>
          </w:tcPr>
          <w:p>
            <w:pPr>
              <w:widowControl w:val="0"/>
              <w:ind w:left="240" w:right="240"/>
              <w:jc w:val="center"/>
              <w:rPr>
                <w:rFonts w:eastAsia="宋体"/>
                <w:b/>
                <w:szCs w:val="22"/>
              </w:rPr>
            </w:pPr>
            <w:r>
              <w:rPr>
                <w:rFonts w:hint="eastAsia" w:eastAsia="宋体"/>
                <w:b/>
                <w:szCs w:val="22"/>
              </w:rPr>
              <w:t>本年数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555" w:type="dxa"/>
            <w:vMerge w:val="continue"/>
            <w:tcBorders>
              <w:bottom w:val="single" w:color="auto" w:sz="4" w:space="0"/>
            </w:tcBorders>
            <w:shd w:val="clear" w:color="FFFFFF" w:fill="FFFFFF"/>
            <w:vAlign w:val="center"/>
          </w:tcPr>
          <w:p>
            <w:pPr>
              <w:widowControl w:val="0"/>
              <w:ind w:left="240" w:right="240"/>
              <w:jc w:val="center"/>
              <w:rPr>
                <w:rFonts w:eastAsia="宋体"/>
                <w:b/>
                <w:szCs w:val="22"/>
              </w:rPr>
            </w:pPr>
          </w:p>
        </w:tc>
        <w:tc>
          <w:tcPr>
            <w:tcW w:w="1701" w:type="dxa"/>
            <w:tcBorders>
              <w:top w:val="single" w:color="auto" w:sz="4" w:space="0"/>
              <w:bottom w:val="single" w:color="auto" w:sz="4" w:space="0"/>
            </w:tcBorders>
            <w:shd w:val="clear" w:color="FFFFFF" w:fill="FFFFFF"/>
            <w:vAlign w:val="center"/>
          </w:tcPr>
          <w:p>
            <w:pPr>
              <w:widowControl w:val="0"/>
              <w:spacing w:line="480" w:lineRule="auto"/>
              <w:ind w:left="-121" w:leftChars="-55" w:right="-95" w:rightChars="-43"/>
              <w:jc w:val="center"/>
              <w:rPr>
                <w:rFonts w:eastAsia="宋体"/>
                <w:b/>
                <w:szCs w:val="22"/>
              </w:rPr>
            </w:pPr>
            <w:r>
              <w:rPr>
                <w:rFonts w:hint="eastAsia" w:eastAsia="宋体"/>
                <w:b/>
                <w:szCs w:val="22"/>
              </w:rPr>
              <w:t>合计</w:t>
            </w:r>
          </w:p>
        </w:tc>
        <w:tc>
          <w:tcPr>
            <w:tcW w:w="1560" w:type="dxa"/>
            <w:tcBorders>
              <w:top w:val="single" w:color="auto" w:sz="4" w:space="0"/>
              <w:bottom w:val="single" w:color="auto" w:sz="4" w:space="0"/>
            </w:tcBorders>
            <w:shd w:val="clear" w:color="FFFFFF" w:fill="FFFFFF"/>
            <w:vAlign w:val="center"/>
          </w:tcPr>
          <w:p>
            <w:pPr>
              <w:widowControl w:val="0"/>
              <w:ind w:left="-121" w:leftChars="-55" w:right="-97" w:rightChars="-44"/>
              <w:jc w:val="center"/>
              <w:rPr>
                <w:rFonts w:eastAsia="宋体"/>
                <w:b/>
                <w:szCs w:val="22"/>
              </w:rPr>
            </w:pPr>
            <w:r>
              <w:rPr>
                <w:rFonts w:hint="eastAsia" w:eastAsia="宋体"/>
                <w:b/>
                <w:szCs w:val="22"/>
              </w:rPr>
              <w:t>业务活动费用</w:t>
            </w:r>
          </w:p>
        </w:tc>
        <w:tc>
          <w:tcPr>
            <w:tcW w:w="1559" w:type="dxa"/>
            <w:tcBorders>
              <w:top w:val="single" w:color="auto" w:sz="4" w:space="0"/>
              <w:bottom w:val="single" w:color="auto" w:sz="4" w:space="0"/>
            </w:tcBorders>
            <w:shd w:val="clear" w:color="FFFFFF" w:fill="FFFFFF"/>
            <w:vAlign w:val="center"/>
          </w:tcPr>
          <w:p>
            <w:pPr>
              <w:widowControl w:val="0"/>
              <w:ind w:left="-119" w:leftChars="-54" w:right="-101" w:rightChars="-46"/>
              <w:jc w:val="center"/>
              <w:rPr>
                <w:rFonts w:eastAsia="宋体"/>
                <w:b/>
                <w:szCs w:val="22"/>
              </w:rPr>
            </w:pPr>
            <w:r>
              <w:rPr>
                <w:rFonts w:hint="eastAsia" w:eastAsia="宋体"/>
                <w:b/>
                <w:szCs w:val="22"/>
              </w:rPr>
              <w:t>单位管理费用</w:t>
            </w:r>
          </w:p>
        </w:tc>
        <w:tc>
          <w:tcPr>
            <w:tcW w:w="1465" w:type="dxa"/>
            <w:tcBorders>
              <w:top w:val="single" w:color="auto" w:sz="4" w:space="0"/>
              <w:bottom w:val="single" w:color="auto" w:sz="4" w:space="0"/>
            </w:tcBorders>
            <w:shd w:val="clear" w:color="FFFFFF" w:fill="FFFFFF"/>
            <w:vAlign w:val="center"/>
          </w:tcPr>
          <w:p>
            <w:pPr>
              <w:widowControl w:val="0"/>
              <w:ind w:left="-114" w:leftChars="-52"/>
              <w:jc w:val="center"/>
              <w:rPr>
                <w:rFonts w:eastAsia="宋体"/>
                <w:b/>
                <w:szCs w:val="22"/>
              </w:rPr>
            </w:pPr>
            <w:r>
              <w:rPr>
                <w:rFonts w:hint="eastAsia" w:eastAsia="宋体"/>
                <w:b/>
                <w:szCs w:val="22"/>
              </w:rPr>
              <w:t>经营费用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exact"/>
        </w:trPr>
        <w:tc>
          <w:tcPr>
            <w:tcW w:w="3555" w:type="dxa"/>
            <w:tcBorders>
              <w:top w:val="single" w:color="auto" w:sz="4" w:space="0"/>
            </w:tcBorders>
            <w:shd w:val="clear" w:color="FFFFFF" w:fill="FFFFFF"/>
          </w:tcPr>
          <w:p>
            <w:pPr>
              <w:widowControl w:val="0"/>
              <w:ind w:left="240" w:right="240"/>
              <w:jc w:val="both"/>
              <w:rPr>
                <w:rFonts w:eastAsia="宋体"/>
                <w:szCs w:val="22"/>
              </w:rPr>
            </w:pPr>
          </w:p>
        </w:tc>
        <w:tc>
          <w:tcPr>
            <w:tcW w:w="1701" w:type="dxa"/>
            <w:tcBorders>
              <w:top w:val="single" w:color="auto" w:sz="4" w:space="0"/>
            </w:tcBorders>
            <w:shd w:val="clear" w:color="FFFFFF" w:fill="FFFFFF"/>
          </w:tcPr>
          <w:p>
            <w:pPr>
              <w:widowControl w:val="0"/>
              <w:ind w:left="240" w:right="240"/>
              <w:jc w:val="both"/>
              <w:rPr>
                <w:rFonts w:eastAsia="宋体"/>
                <w:szCs w:val="22"/>
              </w:rPr>
            </w:pPr>
          </w:p>
        </w:tc>
        <w:tc>
          <w:tcPr>
            <w:tcW w:w="1560" w:type="dxa"/>
            <w:tcBorders>
              <w:top w:val="single" w:color="auto" w:sz="4" w:space="0"/>
            </w:tcBorders>
            <w:shd w:val="clear" w:color="FFFFFF" w:fill="FFFFFF"/>
          </w:tcPr>
          <w:p>
            <w:pPr>
              <w:widowControl w:val="0"/>
              <w:ind w:left="240" w:right="240"/>
              <w:jc w:val="both"/>
              <w:rPr>
                <w:rFonts w:eastAsia="宋体"/>
                <w:szCs w:val="22"/>
              </w:rPr>
            </w:pPr>
          </w:p>
        </w:tc>
        <w:tc>
          <w:tcPr>
            <w:tcW w:w="1559" w:type="dxa"/>
            <w:tcBorders>
              <w:top w:val="single" w:color="auto" w:sz="4" w:space="0"/>
            </w:tcBorders>
            <w:shd w:val="clear" w:color="FFFFFF" w:fill="FFFFFF"/>
          </w:tcPr>
          <w:p>
            <w:pPr>
              <w:widowControl w:val="0"/>
              <w:ind w:left="240" w:right="240"/>
              <w:jc w:val="both"/>
              <w:rPr>
                <w:rFonts w:eastAsia="宋体"/>
                <w:szCs w:val="22"/>
              </w:rPr>
            </w:pPr>
          </w:p>
        </w:tc>
        <w:tc>
          <w:tcPr>
            <w:tcW w:w="1465" w:type="dxa"/>
            <w:tcBorders>
              <w:top w:val="single" w:color="auto" w:sz="4" w:space="0"/>
            </w:tcBorders>
            <w:shd w:val="clear" w:color="FFFFFF" w:fill="FFFFFF"/>
          </w:tcPr>
          <w:p>
            <w:pPr>
              <w:widowControl w:val="0"/>
              <w:ind w:left="240" w:right="240"/>
              <w:jc w:val="both"/>
              <w:rPr>
                <w:rFonts w:eastAsia="宋体"/>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555" w:type="dxa"/>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u w:val="none"/>
              </w:rPr>
              <w:t>支付给本部门内部单位</w:t>
            </w:r>
          </w:p>
        </w:tc>
        <w:tc>
          <w:tcPr>
            <w:tcW w:w="1701" w:type="dxa"/>
            <w:shd w:val="clear" w:color="FFFFFF" w:fill="FFFFFF"/>
          </w:tcPr>
          <w:p>
            <w:pPr>
              <w:pageBreakBefore w:val="0"/>
              <w:widowControl w:val="0"/>
              <w:ind w:left="-55" w:leftChars="-25" w:right="-11" w:rightChars="-5"/>
              <w:jc w:val="right"/>
              <w:textAlignment w:val="auto"/>
            </w:pPr>
            <w:r>
              <w:rPr>
                <w:rFonts w:ascii="Times New Roman" w:hAnsi="Times New Roman" w:eastAsia="Times New Roman" w:cs="Times New Roman"/>
                <w:b w:val="0"/>
                <w:i w:val="0"/>
                <w:color w:val="auto"/>
                <w:position w:val="-1"/>
                <w:u w:val="none"/>
              </w:rPr>
              <w:t>0.00</w:t>
            </w:r>
          </w:p>
        </w:tc>
        <w:tc>
          <w:tcPr>
            <w:tcW w:w="1560" w:type="dxa"/>
            <w:shd w:val="clear" w:color="FFFFFF" w:fill="FFFFFF"/>
          </w:tcPr>
          <w:p>
            <w:pPr>
              <w:pageBreakBefore w:val="0"/>
              <w:widowControl w:val="0"/>
              <w:ind w:right="-9" w:rightChars="-4"/>
              <w:jc w:val="right"/>
              <w:textAlignment w:val="auto"/>
            </w:pPr>
            <w:r>
              <w:rPr>
                <w:rFonts w:ascii="Times New Roman" w:hAnsi="Times New Roman" w:eastAsia="Times New Roman" w:cs="Times New Roman"/>
                <w:b w:val="0"/>
                <w:i w:val="0"/>
                <w:color w:val="auto"/>
                <w:position w:val="-1"/>
                <w:u w:val="none"/>
              </w:rPr>
              <w:t>0.00</w:t>
            </w:r>
          </w:p>
        </w:tc>
        <w:tc>
          <w:tcPr>
            <w:tcW w:w="1559" w:type="dxa"/>
            <w:shd w:val="clear" w:color="FFFFFF" w:fill="FFFFFF"/>
          </w:tcPr>
          <w:p>
            <w:pPr>
              <w:pageBreakBefore w:val="0"/>
              <w:widowControl w:val="0"/>
              <w:ind w:firstLine="39" w:firstLineChars="18"/>
              <w:jc w:val="right"/>
              <w:textAlignment w:val="auto"/>
            </w:pPr>
            <w:r>
              <w:rPr>
                <w:rFonts w:ascii="Times New Roman" w:hAnsi="Times New Roman" w:eastAsia="Times New Roman" w:cs="Times New Roman"/>
                <w:b w:val="0"/>
                <w:i w:val="0"/>
                <w:color w:val="auto"/>
                <w:position w:val="-1"/>
                <w:u w:val="none"/>
              </w:rPr>
              <w:t>0.00</w:t>
            </w:r>
          </w:p>
        </w:tc>
        <w:tc>
          <w:tcPr>
            <w:tcW w:w="1465" w:type="dxa"/>
            <w:shd w:val="clear" w:color="FFFFFF" w:fill="FFFFFF"/>
          </w:tcPr>
          <w:p>
            <w:pPr>
              <w:pageBreakBefore w:val="0"/>
              <w:widowControl w:val="0"/>
              <w:ind w:left="33"/>
              <w:jc w:val="right"/>
              <w:textAlignment w:val="auto"/>
            </w:pPr>
            <w:r>
              <w:rPr>
                <w:rFonts w:ascii="Times New Roman" w:hAnsi="Times New Roman" w:eastAsia="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555" w:type="dxa"/>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u w:val="none"/>
              </w:rPr>
              <w:t>支付给本部门以外的同级政府单位</w:t>
            </w:r>
          </w:p>
        </w:tc>
        <w:tc>
          <w:tcPr>
            <w:tcW w:w="1701" w:type="dxa"/>
            <w:shd w:val="clear" w:color="FFFFFF" w:fill="FFFFFF"/>
          </w:tcPr>
          <w:p>
            <w:pPr>
              <w:pageBreakBefore w:val="0"/>
              <w:widowControl w:val="0"/>
              <w:ind w:left="-55" w:leftChars="-25" w:right="-11" w:rightChars="-5"/>
              <w:jc w:val="right"/>
              <w:textAlignment w:val="auto"/>
            </w:pPr>
            <w:r>
              <w:rPr>
                <w:rFonts w:ascii="Times New Roman" w:hAnsi="Times New Roman" w:eastAsia="Times New Roman" w:cs="Times New Roman"/>
                <w:b w:val="0"/>
                <w:i w:val="0"/>
                <w:color w:val="auto"/>
                <w:position w:val="-1"/>
                <w:u w:val="none"/>
              </w:rPr>
              <w:t>0.00</w:t>
            </w:r>
          </w:p>
        </w:tc>
        <w:tc>
          <w:tcPr>
            <w:tcW w:w="1560" w:type="dxa"/>
            <w:shd w:val="clear" w:color="FFFFFF" w:fill="FFFFFF"/>
          </w:tcPr>
          <w:p>
            <w:pPr>
              <w:pageBreakBefore w:val="0"/>
              <w:widowControl w:val="0"/>
              <w:ind w:right="-9" w:rightChars="-4"/>
              <w:jc w:val="right"/>
              <w:textAlignment w:val="auto"/>
            </w:pPr>
            <w:r>
              <w:rPr>
                <w:rFonts w:ascii="Times New Roman" w:hAnsi="Times New Roman" w:eastAsia="Times New Roman" w:cs="Times New Roman"/>
                <w:b w:val="0"/>
                <w:i w:val="0"/>
                <w:color w:val="auto"/>
                <w:position w:val="-1"/>
                <w:u w:val="none"/>
              </w:rPr>
              <w:t>0.00</w:t>
            </w:r>
          </w:p>
        </w:tc>
        <w:tc>
          <w:tcPr>
            <w:tcW w:w="1559" w:type="dxa"/>
            <w:shd w:val="clear" w:color="FFFFFF" w:fill="FFFFFF"/>
          </w:tcPr>
          <w:p>
            <w:pPr>
              <w:pageBreakBefore w:val="0"/>
              <w:widowControl w:val="0"/>
              <w:ind w:firstLine="39" w:firstLineChars="18"/>
              <w:jc w:val="right"/>
              <w:textAlignment w:val="auto"/>
            </w:pPr>
            <w:r>
              <w:rPr>
                <w:rFonts w:ascii="Times New Roman" w:hAnsi="Times New Roman" w:eastAsia="Times New Roman" w:cs="Times New Roman"/>
                <w:b w:val="0"/>
                <w:i w:val="0"/>
                <w:color w:val="auto"/>
                <w:position w:val="-1"/>
                <w:u w:val="none"/>
              </w:rPr>
              <w:t>0.00</w:t>
            </w:r>
          </w:p>
        </w:tc>
        <w:tc>
          <w:tcPr>
            <w:tcW w:w="1465" w:type="dxa"/>
            <w:shd w:val="clear" w:color="FFFFFF" w:fill="FFFFFF"/>
          </w:tcPr>
          <w:p>
            <w:pPr>
              <w:pageBreakBefore w:val="0"/>
              <w:widowControl w:val="0"/>
              <w:ind w:left="33"/>
              <w:jc w:val="right"/>
              <w:textAlignment w:val="auto"/>
            </w:pPr>
            <w:r>
              <w:rPr>
                <w:rFonts w:ascii="Times New Roman" w:hAnsi="Times New Roman" w:eastAsia="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555" w:type="dxa"/>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u w:val="none"/>
              </w:rPr>
              <w:t>支付给本部门以外的非同级政府单位</w:t>
            </w:r>
          </w:p>
        </w:tc>
        <w:tc>
          <w:tcPr>
            <w:tcW w:w="1701" w:type="dxa"/>
            <w:shd w:val="clear" w:color="FFFFFF" w:fill="FFFFFF"/>
          </w:tcPr>
          <w:p>
            <w:pPr>
              <w:pageBreakBefore w:val="0"/>
              <w:widowControl w:val="0"/>
              <w:ind w:left="-55" w:leftChars="-25" w:right="-11" w:rightChars="-5"/>
              <w:jc w:val="right"/>
              <w:textAlignment w:val="auto"/>
            </w:pPr>
            <w:r>
              <w:rPr>
                <w:rFonts w:ascii="Times New Roman" w:hAnsi="Times New Roman" w:eastAsia="Times New Roman" w:cs="Times New Roman"/>
                <w:b w:val="0"/>
                <w:i w:val="0"/>
                <w:color w:val="auto"/>
                <w:position w:val="-1"/>
                <w:u w:val="none"/>
              </w:rPr>
              <w:t>0.00</w:t>
            </w:r>
          </w:p>
        </w:tc>
        <w:tc>
          <w:tcPr>
            <w:tcW w:w="1560" w:type="dxa"/>
            <w:shd w:val="clear" w:color="FFFFFF" w:fill="FFFFFF"/>
          </w:tcPr>
          <w:p>
            <w:pPr>
              <w:pageBreakBefore w:val="0"/>
              <w:widowControl w:val="0"/>
              <w:ind w:right="-9" w:rightChars="-4"/>
              <w:jc w:val="right"/>
              <w:textAlignment w:val="auto"/>
            </w:pPr>
            <w:r>
              <w:rPr>
                <w:rFonts w:ascii="Times New Roman" w:hAnsi="Times New Roman" w:eastAsia="Times New Roman" w:cs="Times New Roman"/>
                <w:b w:val="0"/>
                <w:i w:val="0"/>
                <w:color w:val="auto"/>
                <w:position w:val="-1"/>
                <w:u w:val="none"/>
              </w:rPr>
              <w:t>0.00</w:t>
            </w:r>
          </w:p>
        </w:tc>
        <w:tc>
          <w:tcPr>
            <w:tcW w:w="1559" w:type="dxa"/>
            <w:shd w:val="clear" w:color="FFFFFF" w:fill="FFFFFF"/>
          </w:tcPr>
          <w:p>
            <w:pPr>
              <w:pageBreakBefore w:val="0"/>
              <w:widowControl w:val="0"/>
              <w:ind w:firstLine="39" w:firstLineChars="18"/>
              <w:jc w:val="right"/>
              <w:textAlignment w:val="auto"/>
            </w:pPr>
            <w:r>
              <w:rPr>
                <w:rFonts w:ascii="Times New Roman" w:hAnsi="Times New Roman" w:eastAsia="Times New Roman" w:cs="Times New Roman"/>
                <w:b w:val="0"/>
                <w:i w:val="0"/>
                <w:color w:val="auto"/>
                <w:position w:val="-1"/>
                <w:u w:val="none"/>
              </w:rPr>
              <w:t>0.00</w:t>
            </w:r>
          </w:p>
        </w:tc>
        <w:tc>
          <w:tcPr>
            <w:tcW w:w="1465" w:type="dxa"/>
            <w:shd w:val="clear" w:color="FFFFFF" w:fill="FFFFFF"/>
          </w:tcPr>
          <w:p>
            <w:pPr>
              <w:pageBreakBefore w:val="0"/>
              <w:widowControl w:val="0"/>
              <w:ind w:left="33"/>
              <w:jc w:val="right"/>
              <w:textAlignment w:val="auto"/>
            </w:pPr>
            <w:r>
              <w:rPr>
                <w:rFonts w:ascii="Times New Roman" w:hAnsi="Times New Roman" w:eastAsia="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555" w:type="dxa"/>
            <w:shd w:val="clear" w:color="FFFFFF" w:fill="FFFFFF"/>
          </w:tcPr>
          <w:p>
            <w:pPr>
              <w:pageBreakBefore w:val="0"/>
              <w:widowControl w:val="0"/>
              <w:ind w:right="240"/>
              <w:jc w:val="left"/>
              <w:textAlignment w:val="auto"/>
            </w:pPr>
            <w:r>
              <w:rPr>
                <w:rFonts w:ascii="Times New Roman" w:hAnsi="Times New Roman" w:eastAsia="Times New Roman" w:cs="Times New Roman"/>
                <w:b/>
                <w:i w:val="0"/>
                <w:color w:val="auto"/>
                <w:position w:val="-1"/>
                <w:u w:val="none"/>
              </w:rPr>
              <w:t>支付给其他单位</w:t>
            </w:r>
          </w:p>
        </w:tc>
        <w:tc>
          <w:tcPr>
            <w:tcW w:w="1701" w:type="dxa"/>
            <w:shd w:val="clear" w:color="FFFFFF" w:fill="FFFFFF"/>
          </w:tcPr>
          <w:p>
            <w:pPr>
              <w:pageBreakBefore w:val="0"/>
              <w:widowControl w:val="0"/>
              <w:ind w:left="-55" w:leftChars="-25" w:right="-11" w:rightChars="-5"/>
              <w:jc w:val="right"/>
              <w:textAlignment w:val="auto"/>
            </w:pPr>
            <w:r>
              <w:rPr>
                <w:rFonts w:ascii="Times New Roman" w:hAnsi="Times New Roman" w:eastAsia="Times New Roman" w:cs="Times New Roman"/>
                <w:b w:val="0"/>
                <w:i w:val="0"/>
                <w:color w:val="auto"/>
                <w:position w:val="-1"/>
                <w:u w:val="none"/>
              </w:rPr>
              <w:t>16.01</w:t>
            </w:r>
          </w:p>
        </w:tc>
        <w:tc>
          <w:tcPr>
            <w:tcW w:w="1560" w:type="dxa"/>
            <w:shd w:val="clear" w:color="FFFFFF" w:fill="FFFFFF"/>
          </w:tcPr>
          <w:p>
            <w:pPr>
              <w:pageBreakBefore w:val="0"/>
              <w:widowControl w:val="0"/>
              <w:ind w:right="-9" w:rightChars="-4"/>
              <w:jc w:val="right"/>
              <w:textAlignment w:val="auto"/>
            </w:pPr>
            <w:r>
              <w:rPr>
                <w:rFonts w:ascii="Times New Roman" w:hAnsi="Times New Roman" w:eastAsia="Times New Roman" w:cs="Times New Roman"/>
                <w:b w:val="0"/>
                <w:i w:val="0"/>
                <w:color w:val="auto"/>
                <w:position w:val="-1"/>
                <w:u w:val="none"/>
              </w:rPr>
              <w:t>16.01</w:t>
            </w:r>
          </w:p>
        </w:tc>
        <w:tc>
          <w:tcPr>
            <w:tcW w:w="1559" w:type="dxa"/>
            <w:shd w:val="clear" w:color="FFFFFF" w:fill="FFFFFF"/>
          </w:tcPr>
          <w:p>
            <w:pPr>
              <w:pageBreakBefore w:val="0"/>
              <w:widowControl w:val="0"/>
              <w:ind w:firstLine="39" w:firstLineChars="18"/>
              <w:jc w:val="right"/>
              <w:textAlignment w:val="auto"/>
            </w:pPr>
            <w:r>
              <w:rPr>
                <w:rFonts w:ascii="Times New Roman" w:hAnsi="Times New Roman" w:eastAsia="Times New Roman" w:cs="Times New Roman"/>
                <w:b w:val="0"/>
                <w:i w:val="0"/>
                <w:color w:val="auto"/>
                <w:position w:val="-1"/>
                <w:u w:val="none"/>
              </w:rPr>
              <w:t>0.00</w:t>
            </w:r>
          </w:p>
        </w:tc>
        <w:tc>
          <w:tcPr>
            <w:tcW w:w="1465" w:type="dxa"/>
            <w:shd w:val="clear" w:color="FFFFFF" w:fill="FFFFFF"/>
          </w:tcPr>
          <w:p>
            <w:pPr>
              <w:pageBreakBefore w:val="0"/>
              <w:widowControl w:val="0"/>
              <w:ind w:left="33"/>
              <w:jc w:val="right"/>
              <w:textAlignment w:val="auto"/>
            </w:pPr>
            <w:r>
              <w:rPr>
                <w:rFonts w:ascii="Times New Roman" w:hAnsi="Times New Roman" w:eastAsia="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3555" w:type="dxa"/>
            <w:tcBorders>
              <w:top w:val="single" w:color="auto" w:sz="4" w:space="0"/>
              <w:bottom w:val="single" w:color="auto" w:sz="12" w:space="0"/>
            </w:tcBorders>
            <w:shd w:val="clear" w:color="FFFFFF" w:fill="FFFFFF"/>
          </w:tcPr>
          <w:p>
            <w:pPr>
              <w:pageBreakBefore w:val="0"/>
              <w:widowControl w:val="0"/>
              <w:ind w:right="240"/>
              <w:jc w:val="center"/>
              <w:textAlignment w:val="auto"/>
            </w:pPr>
            <w:r>
              <w:rPr>
                <w:rFonts w:ascii="Times New Roman" w:hAnsi="Times New Roman" w:eastAsia="Times New Roman" w:cs="Times New Roman"/>
                <w:b/>
                <w:i w:val="0"/>
                <w:color w:val="auto"/>
                <w:position w:val="-1"/>
                <w:u w:val="none"/>
              </w:rPr>
              <w:t>合计</w:t>
            </w:r>
          </w:p>
        </w:tc>
        <w:tc>
          <w:tcPr>
            <w:tcW w:w="1701" w:type="dxa"/>
            <w:tcBorders>
              <w:top w:val="single" w:color="auto" w:sz="4" w:space="0"/>
              <w:bottom w:val="single" w:color="auto" w:sz="12" w:space="0"/>
            </w:tcBorders>
            <w:shd w:val="clear" w:color="FFFFFF" w:fill="FFFFFF"/>
          </w:tcPr>
          <w:p>
            <w:pPr>
              <w:pageBreakBefore w:val="0"/>
              <w:widowControl w:val="0"/>
              <w:ind w:left="-55" w:leftChars="-25" w:right="-11" w:rightChars="-5"/>
              <w:jc w:val="right"/>
              <w:textAlignment w:val="auto"/>
            </w:pPr>
            <w:r>
              <w:rPr>
                <w:rFonts w:ascii="Times New Roman" w:hAnsi="Times New Roman" w:eastAsia="Times New Roman" w:cs="Times New Roman"/>
                <w:b w:val="0"/>
                <w:i w:val="0"/>
                <w:color w:val="auto"/>
                <w:position w:val="-1"/>
                <w:u w:val="none"/>
              </w:rPr>
              <w:t>16.01</w:t>
            </w:r>
          </w:p>
        </w:tc>
        <w:tc>
          <w:tcPr>
            <w:tcW w:w="1560" w:type="dxa"/>
            <w:tcBorders>
              <w:top w:val="single" w:color="auto" w:sz="4" w:space="0"/>
              <w:bottom w:val="single" w:color="auto" w:sz="12" w:space="0"/>
            </w:tcBorders>
            <w:shd w:val="clear" w:color="FFFFFF" w:fill="FFFFFF"/>
          </w:tcPr>
          <w:p>
            <w:pPr>
              <w:pageBreakBefore w:val="0"/>
              <w:widowControl w:val="0"/>
              <w:ind w:right="-9" w:rightChars="-4"/>
              <w:jc w:val="right"/>
              <w:textAlignment w:val="auto"/>
            </w:pPr>
            <w:r>
              <w:rPr>
                <w:rFonts w:ascii="Times New Roman" w:hAnsi="Times New Roman" w:eastAsia="Times New Roman" w:cs="Times New Roman"/>
                <w:b w:val="0"/>
                <w:i w:val="0"/>
                <w:color w:val="auto"/>
                <w:position w:val="-1"/>
                <w:u w:val="none"/>
              </w:rPr>
              <w:t>16.01</w:t>
            </w:r>
          </w:p>
        </w:tc>
        <w:tc>
          <w:tcPr>
            <w:tcW w:w="1559" w:type="dxa"/>
            <w:tcBorders>
              <w:top w:val="single" w:color="auto" w:sz="4" w:space="0"/>
              <w:bottom w:val="single" w:color="auto" w:sz="12" w:space="0"/>
            </w:tcBorders>
            <w:shd w:val="clear" w:color="FFFFFF" w:fill="FFFFFF"/>
          </w:tcPr>
          <w:p>
            <w:pPr>
              <w:pageBreakBefore w:val="0"/>
              <w:widowControl w:val="0"/>
              <w:ind w:firstLine="39" w:firstLineChars="18"/>
              <w:jc w:val="right"/>
              <w:textAlignment w:val="auto"/>
            </w:pPr>
            <w:r>
              <w:rPr>
                <w:rFonts w:ascii="Times New Roman" w:hAnsi="Times New Roman" w:eastAsia="Times New Roman" w:cs="Times New Roman"/>
                <w:b w:val="0"/>
                <w:i w:val="0"/>
                <w:color w:val="auto"/>
                <w:position w:val="-1"/>
                <w:u w:val="none"/>
              </w:rPr>
              <w:t>0.00</w:t>
            </w:r>
          </w:p>
        </w:tc>
        <w:tc>
          <w:tcPr>
            <w:tcW w:w="1465" w:type="dxa"/>
            <w:tcBorders>
              <w:top w:val="single" w:color="auto" w:sz="4" w:space="0"/>
              <w:bottom w:val="single" w:color="auto" w:sz="12" w:space="0"/>
            </w:tcBorders>
            <w:shd w:val="clear" w:color="FFFFFF" w:fill="FFFFFF"/>
          </w:tcPr>
          <w:p>
            <w:pPr>
              <w:pageBreakBefore w:val="0"/>
              <w:widowControl w:val="0"/>
              <w:ind w:left="33"/>
              <w:jc w:val="right"/>
              <w:textAlignment w:val="auto"/>
            </w:pPr>
            <w:r>
              <w:rPr>
                <w:rFonts w:ascii="Times New Roman" w:hAnsi="Times New Roman" w:eastAsia="Times New Roman" w:cs="Times New Roman"/>
                <w:b w:val="0"/>
                <w:i w:val="0"/>
                <w:color w:val="auto"/>
                <w:position w:val="-1"/>
                <w:u w:val="none"/>
              </w:rPr>
              <w:t>0.00</w:t>
            </w:r>
          </w:p>
        </w:tc>
      </w:tr>
    </w:tbl>
    <w:p>
      <w:pPr>
        <w:spacing w:line="360" w:lineRule="auto"/>
        <w:ind w:left="240" w:right="240" w:firstLine="480" w:firstLineChars="200"/>
        <w:rPr>
          <w:rFonts w:eastAsia="宋体" w:cs="仿宋_GB2312"/>
          <w:color w:val="00B0F0"/>
          <w:kern w:val="16"/>
          <w:sz w:val="24"/>
        </w:rPr>
      </w:pPr>
    </w:p>
    <w:p>
      <w:pPr>
        <w:pStyle w:val="109"/>
        <w:spacing w:line="360" w:lineRule="auto"/>
        <w:ind w:left="660" w:leftChars="300" w:firstLine="0" w:firstLineChars="0"/>
        <w:outlineLvl w:val="3"/>
        <w:rPr>
          <w:rFonts w:ascii="宋体" w:hAnsi="宋体" w:eastAsia="宋体" w:cs="仿宋_GB2312"/>
          <w:sz w:val="24"/>
          <w:szCs w:val="24"/>
        </w:rPr>
      </w:pPr>
      <w:r>
        <w:rPr>
          <w:rFonts w:hint="eastAsia" w:ascii="宋体" w:hAnsi="宋体" w:eastAsia="宋体" w:cs="仿宋_GB2312"/>
          <w:sz w:val="24"/>
          <w:szCs w:val="24"/>
        </w:rPr>
        <w:t>（2</w:t>
      </w:r>
      <w:r>
        <w:rPr>
          <w:rFonts w:ascii="宋体" w:hAnsi="宋体" w:eastAsia="宋体" w:cs="仿宋_GB2312"/>
          <w:sz w:val="24"/>
          <w:szCs w:val="24"/>
        </w:rPr>
        <w:t>9</w:t>
      </w:r>
      <w:r>
        <w:rPr>
          <w:rFonts w:hint="eastAsia" w:ascii="宋体" w:hAnsi="宋体" w:eastAsia="宋体" w:cs="仿宋_GB2312"/>
          <w:sz w:val="24"/>
          <w:szCs w:val="24"/>
        </w:rPr>
        <w:t>）其他费用明细信息如下：</w:t>
      </w:r>
    </w:p>
    <w:tbl>
      <w:tblPr>
        <w:tblStyle w:val="33"/>
        <w:tblW w:w="9923" w:type="dxa"/>
        <w:jc w:val="center"/>
        <w:tblLayout w:type="fixed"/>
        <w:tblCellMar>
          <w:top w:w="0" w:type="dxa"/>
          <w:left w:w="108" w:type="dxa"/>
          <w:bottom w:w="0" w:type="dxa"/>
          <w:right w:w="108" w:type="dxa"/>
        </w:tblCellMar>
      </w:tblPr>
      <w:tblGrid>
        <w:gridCol w:w="9923"/>
      </w:tblGrid>
      <w:tr>
        <w:tblPrEx>
          <w:tblCellMar>
            <w:top w:w="0" w:type="dxa"/>
            <w:left w:w="108" w:type="dxa"/>
            <w:bottom w:w="0" w:type="dxa"/>
            <w:right w:w="108" w:type="dxa"/>
          </w:tblCellMar>
        </w:tblPrEx>
        <w:trPr>
          <w:trHeight w:val="794" w:hRule="exact"/>
          <w:jc w:val="center"/>
        </w:trPr>
        <w:tc>
          <w:tcPr>
            <w:tcW w:w="9923" w:type="dxa"/>
            <w:tcBorders>
              <w:top w:val="nil"/>
              <w:left w:val="nil"/>
              <w:bottom w:val="nil"/>
              <w:right w:val="nil"/>
            </w:tcBorders>
            <w:shd w:val="clear" w:color="FFFFFF" w:fill="FFFFFF"/>
            <w:vAlign w:val="center"/>
          </w:tcPr>
          <w:p>
            <w:pPr>
              <w:spacing w:after="101"/>
              <w:ind w:right="240"/>
              <w:rPr>
                <w:rFonts w:eastAsia="宋体"/>
                <w:color w:val="000000"/>
                <w:szCs w:val="22"/>
              </w:rPr>
            </w:pPr>
            <w:r>
              <w:rPr>
                <w:rFonts w:hint="eastAsia" w:eastAsia="宋体"/>
                <w:color w:val="000000"/>
                <w:szCs w:val="22"/>
              </w:rPr>
              <w:t>附表</w:t>
            </w:r>
            <w:r>
              <w:rPr>
                <w:rFonts w:eastAsia="宋体"/>
                <w:color w:val="000000"/>
                <w:szCs w:val="22"/>
              </w:rPr>
              <w:t>29</w:t>
            </w:r>
          </w:p>
          <w:p>
            <w:pPr>
              <w:ind w:left="240" w:right="240"/>
              <w:jc w:val="center"/>
              <w:rPr>
                <w:rFonts w:eastAsia="宋体"/>
                <w:szCs w:val="22"/>
              </w:rPr>
            </w:pPr>
            <w:r>
              <w:rPr>
                <w:rFonts w:ascii="宋体" w:hAnsi="宋体" w:eastAsia="宋体" w:cs="宋体"/>
                <w:sz w:val="22"/>
              </w:rPr>
              <w:t>附表29为空表（略）</w:t>
            </w:r>
          </w:p>
        </w:tc>
      </w:tr>
    </w:tbl>
    <w:p>
      <w:pPr>
        <w:spacing w:line="20" w:lineRule="exact"/>
        <w:ind w:left="240" w:right="240"/>
        <w:jc w:val="right"/>
        <w:rPr>
          <w:sz w:val="20"/>
          <w:szCs w:val="20"/>
        </w:rPr>
      </w:pPr>
    </w:p>
    <w:p>
      <w:pPr>
        <w:spacing w:line="360" w:lineRule="auto"/>
        <w:ind w:left="240" w:right="240" w:firstLine="480" w:firstLineChars="200"/>
        <w:rPr>
          <w:rFonts w:eastAsia="宋体" w:cs="仿宋_GB2312"/>
          <w:color w:val="00B0F0"/>
          <w:kern w:val="16"/>
          <w:sz w:val="24"/>
        </w:rPr>
      </w:pPr>
      <w:bookmarkStart w:id="68" w:name="_Toc35500812"/>
      <w:bookmarkStart w:id="69" w:name="_Toc35452586"/>
    </w:p>
    <w:p>
      <w:pPr>
        <w:pStyle w:val="4"/>
        <w:spacing w:before="0" w:after="0" w:line="360" w:lineRule="auto"/>
        <w:ind w:left="454" w:leftChars="200" w:hanging="14" w:hangingChars="6"/>
        <w:jc w:val="left"/>
        <w:rPr>
          <w:b/>
          <w:color w:val="000000"/>
          <w:spacing w:val="-1"/>
          <w:szCs w:val="30"/>
        </w:rPr>
      </w:pPr>
      <w:r>
        <w:rPr>
          <w:rFonts w:hint="eastAsia" w:ascii="宋体" w:hAnsi="宋体" w:eastAsia="宋体" w:cs="宋体"/>
          <w:b/>
          <w:color w:val="000000"/>
          <w:spacing w:val="-1"/>
          <w:kern w:val="0"/>
          <w:sz w:val="24"/>
          <w:szCs w:val="24"/>
        </w:rPr>
        <w:t>6</w:t>
      </w:r>
      <w:r>
        <w:rPr>
          <w:rFonts w:ascii="宋体" w:hAnsi="宋体" w:eastAsia="宋体" w:cs="宋体"/>
          <w:b/>
          <w:color w:val="000000"/>
          <w:spacing w:val="-1"/>
          <w:kern w:val="0"/>
          <w:sz w:val="24"/>
          <w:szCs w:val="24"/>
        </w:rPr>
        <w:t>.</w:t>
      </w:r>
      <w:r>
        <w:rPr>
          <w:rFonts w:hint="eastAsia" w:ascii="宋体" w:hAnsi="宋体" w:eastAsia="宋体" w:cs="宋体"/>
          <w:b/>
          <w:color w:val="000000"/>
          <w:spacing w:val="-1"/>
          <w:kern w:val="0"/>
          <w:sz w:val="24"/>
          <w:szCs w:val="24"/>
        </w:rPr>
        <w:t>需要说明的其他事项</w:t>
      </w:r>
      <w:bookmarkEnd w:id="68"/>
      <w:bookmarkEnd w:id="69"/>
    </w:p>
    <w:p>
      <w:pPr>
        <w:spacing w:line="360" w:lineRule="auto"/>
        <w:ind w:right="240" w:firstLine="480" w:firstLineChars="200"/>
        <w:rPr>
          <w:rFonts w:hint="eastAsia" w:eastAsia="宋体"/>
          <w:sz w:val="24"/>
          <w:lang w:val="en-US" w:eastAsia="zh-CN"/>
        </w:rPr>
      </w:pPr>
      <w:r>
        <w:rPr>
          <w:rFonts w:hint="eastAsia" w:eastAsia="宋体"/>
          <w:sz w:val="24"/>
          <w:lang w:val="en-US" w:eastAsia="zh-CN"/>
        </w:rPr>
        <w:t>（1）我单位无重要或有事项说明。</w:t>
      </w:r>
    </w:p>
    <w:p>
      <w:pPr>
        <w:spacing w:line="360" w:lineRule="auto"/>
        <w:ind w:right="240" w:firstLine="480" w:firstLineChars="200"/>
        <w:rPr>
          <w:rFonts w:hint="eastAsia" w:eastAsia="宋体"/>
          <w:sz w:val="24"/>
          <w:lang w:val="en-US" w:eastAsia="zh-CN"/>
        </w:rPr>
      </w:pPr>
      <w:r>
        <w:rPr>
          <w:rFonts w:hint="eastAsia" w:eastAsia="宋体"/>
          <w:sz w:val="24"/>
          <w:lang w:val="en-US" w:eastAsia="zh-CN"/>
        </w:rPr>
        <w:t>（2）无以名义金额计量的资产名称、数量等情况。</w:t>
      </w:r>
    </w:p>
    <w:p>
      <w:pPr>
        <w:spacing w:line="360" w:lineRule="auto"/>
        <w:ind w:right="240" w:firstLine="480" w:firstLineChars="200"/>
        <w:rPr>
          <w:rFonts w:hint="eastAsia" w:eastAsia="宋体"/>
          <w:sz w:val="24"/>
          <w:lang w:val="en-US" w:eastAsia="zh-CN"/>
        </w:rPr>
      </w:pPr>
      <w:r>
        <w:rPr>
          <w:rFonts w:hint="eastAsia" w:eastAsia="宋体"/>
          <w:sz w:val="24"/>
          <w:lang w:val="en-US" w:eastAsia="zh-CN"/>
        </w:rPr>
        <w:t>（3）我单位没有使用债务资金形成的固定资产、公共基础设施、保障性住房等资产的账面价值、使用情况、收益情况及与此相关的债务偿还情况。</w:t>
      </w:r>
    </w:p>
    <w:p>
      <w:pPr>
        <w:spacing w:line="360" w:lineRule="auto"/>
        <w:ind w:right="240" w:firstLine="480" w:firstLineChars="200"/>
        <w:rPr>
          <w:rFonts w:hint="eastAsia" w:eastAsia="宋体"/>
          <w:sz w:val="24"/>
          <w:lang w:val="en-US" w:eastAsia="zh-CN"/>
        </w:rPr>
      </w:pPr>
      <w:r>
        <w:rPr>
          <w:rFonts w:hint="eastAsia" w:eastAsia="宋体"/>
          <w:sz w:val="24"/>
          <w:lang w:val="en-US" w:eastAsia="zh-CN"/>
        </w:rPr>
        <w:t>（4）我单位无重要资产置换、无偿调入（出）、捐入（出）、报废、重大毁损等情况的说明。</w:t>
      </w:r>
    </w:p>
    <w:p>
      <w:pPr>
        <w:spacing w:line="360" w:lineRule="auto"/>
        <w:ind w:right="240" w:firstLine="480" w:firstLineChars="200"/>
        <w:rPr>
          <w:rFonts w:hint="eastAsia" w:eastAsia="宋体"/>
          <w:sz w:val="24"/>
          <w:lang w:val="en-US" w:eastAsia="zh-CN"/>
        </w:rPr>
      </w:pPr>
      <w:r>
        <w:rPr>
          <w:rFonts w:hint="eastAsia" w:eastAsia="宋体"/>
          <w:sz w:val="24"/>
          <w:lang w:val="en-US" w:eastAsia="zh-CN"/>
        </w:rPr>
        <w:t>（5）无政府部门管理的公共基础设施、文物文化资产、保障性住房、自然资源资产等重要资产，披露种类和实物量等相关信息。</w:t>
      </w:r>
    </w:p>
    <w:p>
      <w:pPr>
        <w:spacing w:line="360" w:lineRule="auto"/>
        <w:ind w:right="240" w:firstLine="480" w:firstLineChars="200"/>
        <w:rPr>
          <w:rFonts w:hint="eastAsia" w:eastAsia="宋体"/>
          <w:sz w:val="24"/>
          <w:lang w:val="en-US" w:eastAsia="zh-CN"/>
        </w:rPr>
      </w:pPr>
      <w:r>
        <w:rPr>
          <w:rFonts w:hint="eastAsia" w:eastAsia="宋体"/>
          <w:sz w:val="24"/>
          <w:lang w:val="en-US" w:eastAsia="zh-CN"/>
        </w:rPr>
        <w:t>（6）我单位无PPP 项目合同的总体描述、重要条款及报告期间所发生的项目合同变更情况。</w:t>
      </w:r>
    </w:p>
    <w:p>
      <w:pPr>
        <w:spacing w:line="360" w:lineRule="auto"/>
        <w:ind w:right="240" w:firstLine="480" w:firstLineChars="200"/>
        <w:rPr>
          <w:rFonts w:hint="eastAsia" w:eastAsia="宋体"/>
          <w:sz w:val="24"/>
          <w:lang w:val="en-US" w:eastAsia="zh-CN"/>
        </w:rPr>
        <w:sectPr>
          <w:pgSz w:w="11906" w:h="16838"/>
          <w:pgMar w:top="1440" w:right="1083" w:bottom="1440" w:left="1083" w:header="0" w:footer="720" w:gutter="0"/>
          <w:cols w:space="425" w:num="1"/>
          <w:docGrid w:type="lines" w:linePitch="326" w:charSpace="0"/>
        </w:sectPr>
      </w:pPr>
      <w:r>
        <w:rPr>
          <w:rFonts w:hint="eastAsia" w:eastAsia="宋体"/>
          <w:sz w:val="24"/>
          <w:lang w:val="en-US" w:eastAsia="zh-CN"/>
        </w:rPr>
        <w:t>（7）资产总额较上年增减变动幅度超过20%，需在部门（单位）财务报告中提供文字说明。资产总额较上年增长幅度超过20%（年末超过年初34871.92元）的原因是2009年，本单位公车由旗政府办调拨至我办使用，但在此期间未在固定资产系统内填列，2021年新增此资产卡片，该车虽已提足折旧，但仍在使用状态。当年值0.00与上年的报表数值13961.37不等，差额=-13961.37。会计差错更正=-13961.37，</w:t>
      </w:r>
      <w:r>
        <w:rPr>
          <w:rFonts w:hint="default" w:eastAsia="宋体"/>
          <w:sz w:val="24"/>
          <w:lang w:val="en-US" w:eastAsia="zh-CN"/>
        </w:rPr>
        <w:t>当年将此金额全部填列到商品和服务支出了。</w:t>
      </w:r>
      <w:r>
        <w:rPr>
          <w:rFonts w:hint="eastAsia" w:eastAsia="宋体"/>
          <w:sz w:val="24"/>
          <w:lang w:val="en-US" w:eastAsia="zh-CN"/>
        </w:rPr>
        <w:t>会计差错更正=-13961.37：当年将此金额全部填列到商品和服务支出了。【一、资产合计】：财务报表【资产总计】年初数=102467.35，资产年报=70832.14，差额=31635.21，请说明理由。2021年资产年报中没有填写流动资产科目，财报中填写了流动资产科目及金额，导致差额31635.21。【一、资产合计】：财务报表【资产总计】年初数=67595.43，资产年报=64520.57，差额=3074.86，请说明理由。2021年资产年报中没有填写流动资产科目，财报中填写了流动资产科目及金额，导致差额3074.86。【流动资产】财务报表【流动资产合计】年初数=31653.21，资产年报=0.00，差额=31653.21，请说明理由。2021年资产年报中没有填写流动资产科目，财报中填写了流动资产科目及金额，导致差额31635.21。【流动资产】财务报表【流动资产合计】年初数=3074.86，资产年报=0.00，差额=3074.86，请说明理由。2021年资产年报中没有填写流动资产科目，财报中填写了流动资产科目及金额，导致差额3074.86。【货币资金】财务报表【货币资金】年初数=31635.21，资产年报=0.00，差额=31635.21，请说明理由。2021年资产年报中没有填写流动资产科目，财报中填写了流动资产科目及金额，导致差额31635.21。【货币资金】财务报表【货币资金】年初数=3074.86，资产年报=0.00，差额=3074.86，请说明理由。【二、负债合计】：财务报表【负债合计】年初数=1540.43，资产年报=0.00，差额=1540.43，请说明理由。2021年资产年报中没有填写负债科目，财报中填写了负债科目及金额，导致差额1540.43。【二、负债合计】：财务报表【负债合计】年初数=1561.75，资产年报=0.00，差额=1561.75，请说明理由。2021年资产年报中没有填写负债科目，财报中填写了负债科目及金额，导致差额1561.75。【流动负债】财务报表【流动负债合计】年初数=1540.43，资产年报=0.00，差额=1540.43，请说明理由。2021年资产年报中没有填写负债科目，财报中填写了负债科目及金额，导致差额1540.43。【流动负债】财务报表【流动负债合计】年初数=1561.75，资产年报=0.00，差额=1561.75，请说明理由。2021年资产年报中没有填写负债科目，财报中填写了负债科目及金额，导致差额1561.75。【其他应交税费】财务报表【其他应交税费】年初数=1540.43，资产年报=0.00，差额=1540.43，请说明理由。2021年资产年报中没有填写负债科目，财报中填写了负债科目及金额，导致其他应交税费差额1540.43。【其他应交税费】财务报表【其他应交税费】年初数=1561.75，资产年报=0.00，差额=1561.75，请说明理由。2021年资产年报中没有填写负债科目，财报中填写了负债科目及金额，导致其他应交税费差额1561.75。【三、净资产】：财务报表【净资产合计】年初数=100926.92，资产年报=70832.14，差额=30094.78，请说明理由。2021年资产年报中没有填写负债、净资产、流动资产，财报中填写了负债、净资产、流动资产，导致净资产差额30094.78。【三、净资产】：财务报表【净资产合计】年初数=66033.68，资产年报=64520.57，差额=1513.11，请说明理由。2021年资产年报中没有填写负债、净资产、流动资产，财报中填写了负债、净资产、流动资产，导致净资产差额66033.68。【累计盈余（非限定性净资产）】财务报表【累计盈余】年初数=100926.92，资产年报=70832.14，差额=30094.78，请说明理由。2021年资产年报中没有填写负债、净资产、流动资产，财报中填写了负债、净资产、流动资产，导致累计盈余（非限定性资产）差额30094.78。【累计盈余（非限定性净资产）】财务报表【累计盈余】年初数=66033.68，资产年报=64520.57，差额=1513.11，请说明理由。2021年资产年报中没有填写负债、净资产、流动资产，财报中填写了负债、净资产、流动资产，导致累计盈余（非限定性净资产）差额1513.11。</w:t>
      </w:r>
      <w:r>
        <w:rPr>
          <w:rFonts w:ascii="Helvetica" w:hAnsi="Helvetica" w:eastAsia="Helvetica" w:cs="Helvetica"/>
          <w:i w:val="0"/>
          <w:iCs w:val="0"/>
          <w:caps w:val="0"/>
          <w:color w:val="FFFFFF"/>
          <w:spacing w:val="0"/>
          <w:sz w:val="21"/>
          <w:szCs w:val="21"/>
        </w:rPr>
        <w:t>资产合计】：财务报表【资产总计】年初数=102,467.35，资产年报=70,832.14，差额=31,635.21，请说明理由正=-13961.37：当年将此金额全部填列到商品和服务支出了</w:t>
      </w:r>
    </w:p>
    <w:p>
      <w:pPr>
        <w:widowControl w:val="0"/>
        <w:spacing w:line="360" w:lineRule="auto"/>
        <w:outlineLvl w:val="1"/>
        <w:rPr>
          <w:rFonts w:ascii="黑体" w:hAnsi="黑体" w:eastAsia="黑体" w:cs="黑体"/>
          <w:color w:val="000000"/>
          <w:sz w:val="32"/>
          <w:szCs w:val="32"/>
        </w:rPr>
      </w:pPr>
      <w:bookmarkStart w:id="70" w:name="_Toc503548887"/>
      <w:bookmarkStart w:id="71" w:name="_Toc35500813"/>
      <w:bookmarkStart w:id="72" w:name="_Toc35452587"/>
      <w:bookmarkStart w:id="73" w:name="_Toc436083530"/>
      <w:r>
        <w:rPr>
          <w:rFonts w:hint="eastAsia" w:ascii="黑体" w:hAnsi="黑体" w:eastAsia="黑体" w:cs="黑体"/>
          <w:color w:val="000000"/>
          <w:sz w:val="32"/>
          <w:szCs w:val="32"/>
        </w:rPr>
        <w:t>二、政府部门财务分析</w:t>
      </w:r>
      <w:bookmarkEnd w:id="70"/>
      <w:bookmarkEnd w:id="71"/>
      <w:bookmarkEnd w:id="72"/>
      <w:bookmarkEnd w:id="73"/>
    </w:p>
    <w:p>
      <w:pPr>
        <w:pStyle w:val="3"/>
        <w:spacing w:before="0" w:after="0" w:line="360" w:lineRule="auto"/>
        <w:ind w:left="220" w:leftChars="100"/>
        <w:jc w:val="left"/>
        <w:rPr>
          <w:rFonts w:ascii="楷体_GB2312" w:hAnsi="楷体_GB2312" w:eastAsia="楷体_GB2312" w:cs="楷体_GB2312"/>
          <w:b w:val="0"/>
          <w:color w:val="000000"/>
          <w:sz w:val="30"/>
          <w:szCs w:val="30"/>
        </w:rPr>
      </w:pPr>
      <w:bookmarkStart w:id="74" w:name="_Toc503548888"/>
      <w:bookmarkStart w:id="75" w:name="_Toc436083531"/>
      <w:bookmarkStart w:id="76" w:name="_Toc35452588"/>
      <w:bookmarkStart w:id="77" w:name="_Toc35500814"/>
      <w:r>
        <w:rPr>
          <w:rFonts w:hint="eastAsia" w:ascii="楷体_GB2312" w:hAnsi="楷体_GB2312" w:eastAsia="楷体_GB2312" w:cs="楷体_GB2312"/>
          <w:b w:val="0"/>
          <w:color w:val="000000"/>
          <w:sz w:val="30"/>
          <w:szCs w:val="30"/>
        </w:rPr>
        <w:t>（一）</w:t>
      </w:r>
      <w:bookmarkEnd w:id="74"/>
      <w:bookmarkEnd w:id="75"/>
      <w:bookmarkStart w:id="78" w:name="_Toc436083532"/>
      <w:bookmarkStart w:id="79" w:name="_Toc503548889"/>
      <w:r>
        <w:rPr>
          <w:rFonts w:ascii="楷体_GB2312" w:hAnsi="楷体_GB2312" w:eastAsia="楷体_GB2312" w:cs="楷体_GB2312"/>
          <w:b w:val="0"/>
          <w:color w:val="000000"/>
          <w:sz w:val="30"/>
          <w:szCs w:val="30"/>
        </w:rPr>
        <w:t>政府部门工作目标完成情况</w:t>
      </w:r>
      <w:bookmarkEnd w:id="76"/>
      <w:bookmarkEnd w:id="77"/>
    </w:p>
    <w:p>
      <w:pPr>
        <w:spacing w:line="360" w:lineRule="auto"/>
        <w:ind w:right="240" w:firstLine="480" w:firstLineChars="200"/>
        <w:rPr>
          <w:rFonts w:hint="eastAsia" w:eastAsia="宋体"/>
          <w:sz w:val="24"/>
          <w:lang w:val="en-US" w:eastAsia="zh-CN"/>
        </w:rPr>
      </w:pPr>
      <w:r>
        <w:rPr>
          <w:rFonts w:hint="eastAsia" w:eastAsia="宋体"/>
          <w:sz w:val="24"/>
          <w:lang w:val="en-US" w:eastAsia="zh-CN"/>
        </w:rPr>
        <w:t>中共奈曼旗委员会机构编制委员会办公室是奈曼旗委机构编制委员会的办事机构，为正科级单位，承担奈曼旗委机构编制委员会日常工作，加挂事业单位登记管理局牌子，列旗委工作机关序列，归口旗委组织部管理。本部门对财务管理进行规范化，同财政部门及时沟通学习，积极进行财政部门组织的财报、编报、审核等方面工作并按时完成，如实填报。</w:t>
      </w:r>
    </w:p>
    <w:p>
      <w:pPr>
        <w:pStyle w:val="3"/>
        <w:spacing w:before="0" w:after="0" w:line="360" w:lineRule="auto"/>
        <w:ind w:left="220" w:leftChars="100"/>
        <w:jc w:val="left"/>
        <w:rPr>
          <w:rFonts w:ascii="楷体_GB2312" w:hAnsi="楷体_GB2312" w:eastAsia="楷体_GB2312" w:cs="楷体_GB2312"/>
          <w:b w:val="0"/>
          <w:color w:val="000000"/>
          <w:sz w:val="30"/>
          <w:szCs w:val="30"/>
        </w:rPr>
      </w:pPr>
      <w:bookmarkStart w:id="80" w:name="_Toc35500815"/>
      <w:r>
        <w:rPr>
          <w:rFonts w:hint="eastAsia" w:ascii="楷体_GB2312" w:hAnsi="楷体_GB2312" w:eastAsia="楷体_GB2312" w:cs="楷体_GB2312"/>
          <w:b w:val="0"/>
          <w:color w:val="000000"/>
          <w:sz w:val="30"/>
          <w:szCs w:val="30"/>
        </w:rPr>
        <w:t>（二）</w:t>
      </w:r>
      <w:bookmarkEnd w:id="78"/>
      <w:bookmarkEnd w:id="79"/>
      <w:r>
        <w:rPr>
          <w:rFonts w:ascii="楷体_GB2312" w:hAnsi="楷体_GB2312" w:eastAsia="楷体_GB2312" w:cs="楷体_GB2312"/>
          <w:b w:val="0"/>
          <w:color w:val="000000"/>
          <w:sz w:val="30"/>
          <w:szCs w:val="30"/>
        </w:rPr>
        <w:t>政府部门财务状况分析</w:t>
      </w:r>
      <w:bookmarkEnd w:id="80"/>
    </w:p>
    <w:p>
      <w:pPr>
        <w:spacing w:line="360" w:lineRule="auto"/>
        <w:ind w:right="240" w:firstLine="480" w:firstLineChars="200"/>
        <w:rPr>
          <w:rFonts w:hint="eastAsia" w:eastAsia="宋体"/>
          <w:sz w:val="24"/>
          <w:lang w:val="en-US" w:eastAsia="zh-CN"/>
        </w:rPr>
      </w:pPr>
      <w:r>
        <w:rPr>
          <w:rFonts w:hint="eastAsia" w:eastAsia="宋体"/>
          <w:sz w:val="24"/>
          <w:lang w:val="en-US" w:eastAsia="zh-CN"/>
        </w:rPr>
        <w:t>1.我单位2021年末资产总计6.76万元，流动资产占比4.59%，非流动资产占比95.41%。其中货币资金0.31万元，在资产中占比4.59%，主要为单位流动资产使用；固定资产原值40.16万元，净值6.5万元，在资产中占比95.41%，主要由于2009年，本单位公车在旗政府办调拨至我单位使用，但在此期间未在固定资产系统内填列，因此2021年新增此固定资产卡片，该车虽已提足折旧，但仍在使用状态。</w:t>
      </w:r>
    </w:p>
    <w:p>
      <w:pPr>
        <w:spacing w:line="360" w:lineRule="auto"/>
        <w:ind w:left="240" w:right="240" w:firstLine="480" w:firstLineChars="200"/>
        <w:rPr>
          <w:rFonts w:eastAsia="宋体"/>
          <w:sz w:val="24"/>
        </w:rPr>
      </w:pPr>
      <w:r>
        <w:rPr>
          <w:rFonts w:hint="eastAsia" w:eastAsia="宋体" w:cs="仿宋_GB2312"/>
          <w:color w:val="00B0F0"/>
          <w:kern w:val="16"/>
          <w:sz w:val="24"/>
        </w:rPr>
        <w:t xml:space="preserve"> </w:t>
      </w:r>
      <w:r>
        <w:rPr>
          <w:rFonts w:eastAsia="宋体"/>
          <w:sz w:val="24"/>
        </w:rPr>
        <w:t>资产结构分析</w:t>
      </w:r>
      <w:r>
        <w:rPr>
          <w:rFonts w:hint="eastAsia" w:eastAsia="宋体"/>
          <w:sz w:val="24"/>
        </w:rPr>
        <w:t>图：</w:t>
      </w:r>
    </w:p>
    <w:p>
      <w:pPr>
        <w:spacing w:line="360" w:lineRule="auto"/>
        <w:ind w:left="-660" w:leftChars="-300" w:right="240"/>
        <w:jc w:val="center"/>
        <w:rPr>
          <w:rFonts w:eastAsia="宋体"/>
          <w:szCs w:val="22"/>
        </w:rPr>
      </w:pPr>
      <w:r>
        <w:rPr>
          <w:rFonts w:eastAsia="宋体"/>
          <w:szCs w:val="22"/>
        </w:rPr>
        <w:drawing>
          <wp:inline distT="0" distB="0" distL="0" distR="0">
            <wp:extent cx="6350000" cy="3467100"/>
            <wp:effectExtent l="0" t="0" r="12700" b="0"/>
            <wp:docPr id="1" name="Drawing 0" descr="资产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资产结构分析"/>
                    <pic:cNvPicPr>
                      <a:picLocks noChangeAspect="1"/>
                    </pic:cNvPicPr>
                  </pic:nvPicPr>
                  <pic:blipFill>
                    <a:blip r:embed="rId10"/>
                    <a:stretch>
                      <a:fillRect/>
                    </a:stretch>
                  </pic:blipFill>
                  <pic:spPr>
                    <a:xfrm>
                      <a:off x="0" y="0"/>
                      <a:ext cx="6350000" cy="3467100"/>
                    </a:xfrm>
                    <a:prstGeom prst="rect">
                      <a:avLst/>
                    </a:prstGeom>
                  </pic:spPr>
                </pic:pic>
              </a:graphicData>
            </a:graphic>
          </wp:inline>
        </w:drawing>
      </w:r>
    </w:p>
    <w:p>
      <w:pPr>
        <w:spacing w:line="360" w:lineRule="auto"/>
        <w:ind w:left="-660" w:leftChars="-300" w:right="240"/>
        <w:jc w:val="center"/>
        <w:rPr>
          <w:rFonts w:eastAsia="宋体"/>
          <w:szCs w:val="22"/>
        </w:rPr>
      </w:pPr>
    </w:p>
    <w:p>
      <w:pPr>
        <w:spacing w:line="360" w:lineRule="auto"/>
        <w:ind w:left="240" w:right="240" w:firstLine="600" w:firstLineChars="250"/>
        <w:rPr>
          <w:rFonts w:eastAsia="宋体" w:cs="仿宋_GB2312"/>
          <w:color w:val="00B0F0"/>
          <w:kern w:val="16"/>
          <w:sz w:val="24"/>
        </w:rPr>
      </w:pPr>
      <w:r>
        <w:rPr>
          <w:rFonts w:eastAsia="宋体"/>
          <w:sz w:val="24"/>
        </w:rPr>
        <w:t>重要资产项目年度情况分析</w:t>
      </w:r>
      <w:r>
        <w:rPr>
          <w:rFonts w:hint="eastAsia" w:eastAsia="宋体"/>
          <w:sz w:val="24"/>
        </w:rPr>
        <w:t>图</w:t>
      </w:r>
      <w:r>
        <w:rPr>
          <w:rFonts w:hint="eastAsia"/>
        </w:rPr>
        <w:t>:</w:t>
      </w:r>
    </w:p>
    <w:p>
      <w:pPr>
        <w:spacing w:line="360" w:lineRule="auto"/>
        <w:ind w:left="-660" w:leftChars="-300" w:right="240"/>
        <w:jc w:val="center"/>
        <w:rPr>
          <w:rFonts w:eastAsia="宋体"/>
          <w:szCs w:val="22"/>
        </w:rPr>
      </w:pPr>
      <w:r>
        <w:rPr>
          <w:rFonts w:eastAsia="宋体"/>
          <w:szCs w:val="22"/>
        </w:rPr>
        <w:drawing>
          <wp:inline distT="0" distB="0" distL="0" distR="0">
            <wp:extent cx="6350000" cy="3467100"/>
            <wp:effectExtent l="0" t="0" r="12700" b="0"/>
            <wp:docPr id="2" name="Drawing 1" descr="重要资产项目年度情况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重要资产项目年度情况分析"/>
                    <pic:cNvPicPr>
                      <a:picLocks noChangeAspect="1"/>
                    </pic:cNvPicPr>
                  </pic:nvPicPr>
                  <pic:blipFill>
                    <a:blip r:embed="rId11"/>
                    <a:stretch>
                      <a:fillRect/>
                    </a:stretch>
                  </pic:blipFill>
                  <pic:spPr>
                    <a:xfrm>
                      <a:off x="0" y="0"/>
                      <a:ext cx="6350000" cy="3467100"/>
                    </a:xfrm>
                    <a:prstGeom prst="rect">
                      <a:avLst/>
                    </a:prstGeom>
                  </pic:spPr>
                </pic:pic>
              </a:graphicData>
            </a:graphic>
          </wp:inline>
        </w:drawing>
      </w:r>
    </w:p>
    <w:p>
      <w:pPr>
        <w:spacing w:line="360" w:lineRule="auto"/>
        <w:ind w:left="240" w:right="240" w:firstLine="480" w:firstLineChars="200"/>
        <w:rPr>
          <w:rFonts w:eastAsia="宋体" w:cs="仿宋_GB2312"/>
          <w:color w:val="00B0F0"/>
          <w:kern w:val="16"/>
          <w:sz w:val="24"/>
        </w:rPr>
      </w:pPr>
    </w:p>
    <w:p>
      <w:pPr>
        <w:spacing w:line="360" w:lineRule="auto"/>
        <w:ind w:right="240" w:firstLine="480" w:firstLineChars="200"/>
        <w:rPr>
          <w:rFonts w:hint="eastAsia" w:eastAsia="宋体"/>
          <w:sz w:val="24"/>
          <w:lang w:val="en-US" w:eastAsia="zh-CN"/>
        </w:rPr>
      </w:pPr>
      <w:r>
        <w:rPr>
          <w:rFonts w:hint="eastAsia" w:eastAsia="宋体"/>
          <w:sz w:val="24"/>
          <w:lang w:val="en-US" w:eastAsia="zh-CN"/>
        </w:rPr>
        <w:t>2.我单位2020年末货币资金3.2万元，2021年末货币资产0.31万元，较上年减少90.3%，主要为单位贯彻执行中央八项规定，节省开支。2020年末固定资产总额17.20万元，2021年末固定资产总额为40.16万元，较上年增加57.17%。主要是由于负债总额0.16万元，其他应交税费占100%。</w:t>
      </w:r>
    </w:p>
    <w:p>
      <w:pPr>
        <w:spacing w:line="360" w:lineRule="auto"/>
        <w:ind w:left="240" w:right="240" w:firstLine="600" w:firstLineChars="250"/>
        <w:rPr>
          <w:rFonts w:eastAsia="宋体" w:cs="仿宋_GB2312"/>
          <w:color w:val="00B0F0"/>
          <w:kern w:val="16"/>
          <w:sz w:val="24"/>
        </w:rPr>
      </w:pPr>
      <w:r>
        <w:rPr>
          <w:rFonts w:hint="eastAsia" w:eastAsia="宋体"/>
          <w:sz w:val="24"/>
        </w:rPr>
        <w:t>部门债务分析图：</w:t>
      </w:r>
    </w:p>
    <w:p>
      <w:pPr>
        <w:spacing w:line="360" w:lineRule="auto"/>
        <w:ind w:left="-660" w:leftChars="-300" w:right="240"/>
        <w:jc w:val="center"/>
        <w:rPr>
          <w:rFonts w:eastAsia="宋体"/>
          <w:szCs w:val="22"/>
        </w:rPr>
      </w:pPr>
      <w:r>
        <w:rPr>
          <w:rFonts w:eastAsia="宋体"/>
          <w:szCs w:val="22"/>
        </w:rPr>
        <w:drawing>
          <wp:inline distT="0" distB="0" distL="0" distR="0">
            <wp:extent cx="6350000" cy="3467100"/>
            <wp:effectExtent l="0" t="0" r="12700" b="0"/>
            <wp:docPr id="3" name="Drawing 2" descr="部门债务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2" descr="部门债务结构"/>
                    <pic:cNvPicPr>
                      <a:picLocks noChangeAspect="1"/>
                    </pic:cNvPicPr>
                  </pic:nvPicPr>
                  <pic:blipFill>
                    <a:blip r:embed="rId12"/>
                    <a:stretch>
                      <a:fillRect/>
                    </a:stretch>
                  </pic:blipFill>
                  <pic:spPr>
                    <a:xfrm>
                      <a:off x="0" y="0"/>
                      <a:ext cx="6350000" cy="3467100"/>
                    </a:xfrm>
                    <a:prstGeom prst="rect">
                      <a:avLst/>
                    </a:prstGeom>
                  </pic:spPr>
                </pic:pic>
              </a:graphicData>
            </a:graphic>
          </wp:inline>
        </w:drawing>
      </w:r>
    </w:p>
    <w:p>
      <w:pPr>
        <w:spacing w:line="360" w:lineRule="auto"/>
        <w:ind w:left="-660" w:leftChars="-300" w:right="240"/>
        <w:jc w:val="center"/>
        <w:rPr>
          <w:rFonts w:ascii="新宋体" w:hAnsi="新宋体" w:eastAsia="新宋体"/>
          <w:sz w:val="24"/>
        </w:rPr>
      </w:pPr>
    </w:p>
    <w:p>
      <w:pPr>
        <w:spacing w:line="360" w:lineRule="auto"/>
        <w:ind w:left="240" w:right="240" w:firstLine="480" w:firstLineChars="200"/>
        <w:rPr>
          <w:rFonts w:eastAsia="宋体" w:cs="仿宋_GB2312"/>
          <w:color w:val="00B0F0"/>
          <w:kern w:val="16"/>
          <w:sz w:val="24"/>
        </w:rPr>
      </w:pPr>
      <w:r>
        <w:rPr>
          <w:rFonts w:eastAsia="宋体"/>
          <w:sz w:val="24"/>
        </w:rPr>
        <w:t>重要</w:t>
      </w:r>
      <w:r>
        <w:rPr>
          <w:rFonts w:hint="eastAsia" w:eastAsia="宋体"/>
          <w:sz w:val="24"/>
        </w:rPr>
        <w:t>负债变化</w:t>
      </w:r>
      <w:r>
        <w:rPr>
          <w:rFonts w:eastAsia="宋体"/>
          <w:sz w:val="24"/>
        </w:rPr>
        <w:t>分析</w:t>
      </w:r>
      <w:r>
        <w:rPr>
          <w:rFonts w:hint="eastAsia" w:eastAsia="宋体"/>
          <w:sz w:val="24"/>
        </w:rPr>
        <w:t>图:</w:t>
      </w:r>
    </w:p>
    <w:p>
      <w:pPr>
        <w:spacing w:line="360" w:lineRule="auto"/>
        <w:ind w:left="-660" w:leftChars="-300" w:right="240"/>
        <w:jc w:val="center"/>
        <w:rPr>
          <w:rFonts w:eastAsia="宋体"/>
          <w:szCs w:val="22"/>
        </w:rPr>
      </w:pPr>
      <w:r>
        <w:rPr>
          <w:rFonts w:hint="eastAsia" w:eastAsia="宋体"/>
          <w:szCs w:val="22"/>
        </w:rPr>
        <w:drawing>
          <wp:inline distT="0" distB="0" distL="0" distR="0">
            <wp:extent cx="6350000" cy="3467100"/>
            <wp:effectExtent l="0" t="0" r="12700" b="0"/>
            <wp:docPr id="4" name="Drawing 3" descr="重要负债变化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3" descr="重要负债变化分析"/>
                    <pic:cNvPicPr>
                      <a:picLocks noChangeAspect="1"/>
                    </pic:cNvPicPr>
                  </pic:nvPicPr>
                  <pic:blipFill>
                    <a:blip r:embed="rId13"/>
                    <a:stretch>
                      <a:fillRect/>
                    </a:stretch>
                  </pic:blipFill>
                  <pic:spPr>
                    <a:xfrm>
                      <a:off x="0" y="0"/>
                      <a:ext cx="6350000" cy="3467100"/>
                    </a:xfrm>
                    <a:prstGeom prst="rect">
                      <a:avLst/>
                    </a:prstGeom>
                  </pic:spPr>
                </pic:pic>
              </a:graphicData>
            </a:graphic>
          </wp:inline>
        </w:drawing>
      </w:r>
    </w:p>
    <w:p>
      <w:pPr>
        <w:spacing w:line="360" w:lineRule="auto"/>
        <w:ind w:right="240" w:firstLine="480" w:firstLineChars="200"/>
        <w:rPr>
          <w:rFonts w:hint="eastAsia" w:eastAsia="宋体"/>
          <w:sz w:val="24"/>
          <w:lang w:val="en-US" w:eastAsia="zh-CN"/>
        </w:rPr>
      </w:pPr>
      <w:r>
        <w:rPr>
          <w:rFonts w:hint="eastAsia" w:eastAsia="宋体"/>
          <w:sz w:val="24"/>
          <w:lang w:val="en-US" w:eastAsia="zh-CN"/>
        </w:rPr>
        <w:t>3.资产负债率为2.37%，风险较小，负责偿还能力强。现金比率为193.75%、流动比率为193.75%，可变现时间短，较强的即刻偿还债务能力；固定资产成新率为16.06%、成新率较高，存在新调拨资产，影响整体固定资产成新率。公共基础设施成新率0%、保障性住房成新率0.00%。</w:t>
      </w:r>
    </w:p>
    <w:p>
      <w:pPr>
        <w:spacing w:line="360" w:lineRule="auto"/>
        <w:ind w:left="240" w:right="240" w:firstLine="480" w:firstLineChars="200"/>
        <w:rPr>
          <w:rFonts w:eastAsia="宋体" w:cs="仿宋_GB2312"/>
          <w:color w:val="00B0F0"/>
          <w:kern w:val="16"/>
          <w:sz w:val="24"/>
        </w:rPr>
      </w:pPr>
      <w:r>
        <w:rPr>
          <w:rFonts w:hint="eastAsia" w:eastAsia="宋体"/>
          <w:sz w:val="24"/>
        </w:rPr>
        <w:t>部门财务状况分析图:</w:t>
      </w:r>
    </w:p>
    <w:p>
      <w:pPr>
        <w:spacing w:line="360" w:lineRule="auto"/>
        <w:ind w:left="-660" w:leftChars="-300" w:right="240"/>
        <w:jc w:val="center"/>
        <w:rPr>
          <w:rFonts w:eastAsia="宋体"/>
          <w:szCs w:val="22"/>
        </w:rPr>
      </w:pPr>
      <w:r>
        <w:rPr>
          <w:rFonts w:eastAsia="宋体"/>
          <w:szCs w:val="22"/>
        </w:rPr>
        <w:drawing>
          <wp:inline distT="0" distB="0" distL="0" distR="0">
            <wp:extent cx="6350000" cy="3467100"/>
            <wp:effectExtent l="0" t="0" r="12700" b="0"/>
            <wp:docPr id="5" name="Drawing 4" descr="部门财务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4" descr="部门财务分析"/>
                    <pic:cNvPicPr>
                      <a:picLocks noChangeAspect="1"/>
                    </pic:cNvPicPr>
                  </pic:nvPicPr>
                  <pic:blipFill>
                    <a:blip r:embed="rId14"/>
                    <a:stretch>
                      <a:fillRect/>
                    </a:stretch>
                  </pic:blipFill>
                  <pic:spPr>
                    <a:xfrm>
                      <a:off x="0" y="0"/>
                      <a:ext cx="6350000" cy="3467100"/>
                    </a:xfrm>
                    <a:prstGeom prst="rect">
                      <a:avLst/>
                    </a:prstGeom>
                  </pic:spPr>
                </pic:pic>
              </a:graphicData>
            </a:graphic>
          </wp:inline>
        </w:drawing>
      </w:r>
    </w:p>
    <w:p>
      <w:pPr>
        <w:spacing w:line="360" w:lineRule="auto"/>
        <w:ind w:left="240" w:right="240" w:firstLine="480" w:firstLineChars="200"/>
        <w:rPr>
          <w:rFonts w:eastAsia="宋体" w:cs="仿宋_GB2312"/>
          <w:color w:val="00B0F0"/>
          <w:kern w:val="16"/>
          <w:sz w:val="24"/>
        </w:rPr>
      </w:pPr>
    </w:p>
    <w:p>
      <w:pPr>
        <w:pStyle w:val="3"/>
        <w:spacing w:before="0" w:after="0" w:line="360" w:lineRule="auto"/>
        <w:ind w:left="220" w:leftChars="100"/>
        <w:jc w:val="left"/>
        <w:rPr>
          <w:rFonts w:ascii="楷体_GB2312" w:hAnsi="楷体_GB2312" w:eastAsia="楷体_GB2312" w:cs="楷体_GB2312"/>
          <w:b w:val="0"/>
          <w:color w:val="000000"/>
          <w:sz w:val="30"/>
          <w:szCs w:val="30"/>
        </w:rPr>
      </w:pPr>
      <w:bookmarkStart w:id="81" w:name="_Toc436083533"/>
      <w:bookmarkStart w:id="82" w:name="_Toc503548890"/>
      <w:bookmarkStart w:id="83" w:name="_Toc35500816"/>
      <w:r>
        <w:rPr>
          <w:rFonts w:hint="eastAsia" w:ascii="楷体_GB2312" w:hAnsi="楷体_GB2312" w:eastAsia="楷体_GB2312" w:cs="楷体_GB2312"/>
          <w:b w:val="0"/>
          <w:color w:val="000000"/>
          <w:sz w:val="30"/>
          <w:szCs w:val="30"/>
        </w:rPr>
        <w:t>（三）</w:t>
      </w:r>
      <w:bookmarkEnd w:id="81"/>
      <w:bookmarkEnd w:id="82"/>
      <w:r>
        <w:rPr>
          <w:rFonts w:ascii="楷体_GB2312" w:hAnsi="楷体_GB2312" w:eastAsia="楷体_GB2312" w:cs="楷体_GB2312"/>
          <w:b w:val="0"/>
          <w:color w:val="000000"/>
          <w:sz w:val="30"/>
          <w:szCs w:val="30"/>
        </w:rPr>
        <w:t>政府部门运行情况分析</w:t>
      </w:r>
      <w:bookmarkEnd w:id="83"/>
    </w:p>
    <w:p>
      <w:pPr>
        <w:spacing w:line="360" w:lineRule="auto"/>
        <w:ind w:left="240" w:right="240" w:firstLine="480" w:firstLineChars="200"/>
        <w:rPr>
          <w:rFonts w:hint="eastAsia" w:eastAsia="宋体" w:cs="仿宋_GB2312"/>
          <w:color w:val="000000" w:themeColor="text1"/>
          <w:kern w:val="16"/>
          <w:sz w:val="24"/>
          <w:lang w:val="en-US" w:eastAsia="zh-CN"/>
          <w14:textFill>
            <w14:solidFill>
              <w14:schemeClr w14:val="tx1"/>
            </w14:solidFill>
          </w14:textFill>
        </w:rPr>
      </w:pPr>
      <w:r>
        <w:rPr>
          <w:rFonts w:hint="eastAsia" w:eastAsia="宋体" w:cs="仿宋_GB2312"/>
          <w:color w:val="000000" w:themeColor="text1"/>
          <w:kern w:val="16"/>
          <w:sz w:val="24"/>
          <w14:textFill>
            <w14:solidFill>
              <w14:schemeClr w14:val="tx1"/>
            </w14:solidFill>
          </w14:textFill>
        </w:rPr>
        <w:t>1.</w:t>
      </w:r>
      <w:r>
        <w:rPr>
          <w:rFonts w:hint="eastAsia" w:eastAsia="宋体" w:cs="仿宋_GB2312"/>
          <w:color w:val="000000" w:themeColor="text1"/>
          <w:kern w:val="16"/>
          <w:sz w:val="24"/>
          <w:lang w:val="en-US" w:eastAsia="zh-CN"/>
          <w14:textFill>
            <w14:solidFill>
              <w14:schemeClr w14:val="tx1"/>
            </w14:solidFill>
          </w14:textFill>
        </w:rPr>
        <w:t>2021年</w:t>
      </w:r>
      <w:r>
        <w:rPr>
          <w:rFonts w:hint="eastAsia" w:eastAsia="宋体" w:cs="仿宋_GB2312"/>
          <w:color w:val="000000" w:themeColor="text1"/>
          <w:kern w:val="16"/>
          <w:sz w:val="24"/>
          <w:lang w:eastAsia="zh-CN"/>
          <w14:textFill>
            <w14:solidFill>
              <w14:schemeClr w14:val="tx1"/>
            </w14:solidFill>
          </w14:textFill>
        </w:rPr>
        <w:t>财政拨款收入</w:t>
      </w:r>
      <w:r>
        <w:rPr>
          <w:rFonts w:hint="eastAsia" w:eastAsia="宋体" w:cs="仿宋_GB2312"/>
          <w:color w:val="000000" w:themeColor="text1"/>
          <w:kern w:val="16"/>
          <w:sz w:val="24"/>
          <w:lang w:val="en-US" w:eastAsia="zh-CN"/>
          <w14:textFill>
            <w14:solidFill>
              <w14:schemeClr w14:val="tx1"/>
            </w14:solidFill>
          </w14:textFill>
        </w:rPr>
        <w:t>142.1万元，其中一般性财政补助收入142.1万元，</w:t>
      </w:r>
      <w:r>
        <w:rPr>
          <w:rFonts w:hint="eastAsia" w:eastAsia="宋体" w:cs="仿宋_GB2312"/>
          <w:color w:val="000000" w:themeColor="text1"/>
          <w:kern w:val="16"/>
          <w:sz w:val="24"/>
          <w:lang w:eastAsia="zh-CN"/>
          <w14:textFill>
            <w14:solidFill>
              <w14:schemeClr w14:val="tx1"/>
            </w14:solidFill>
          </w14:textFill>
        </w:rPr>
        <w:t>占总收入的</w:t>
      </w:r>
      <w:r>
        <w:rPr>
          <w:rFonts w:hint="eastAsia" w:eastAsia="宋体" w:cs="仿宋_GB2312"/>
          <w:color w:val="000000" w:themeColor="text1"/>
          <w:kern w:val="16"/>
          <w:sz w:val="24"/>
          <w:lang w:val="en-US" w:eastAsia="zh-CN"/>
          <w14:textFill>
            <w14:solidFill>
              <w14:schemeClr w14:val="tx1"/>
            </w14:solidFill>
          </w14:textFill>
        </w:rPr>
        <w:t>100.00%我单位为全额拨款行政单位，全部收入均为财政拨款，较2020年增加21.6万元，增加原因：由于我办各项改革包括旗事业单位改革、行政审批相对集中许可权改革涉及下乡调研、开会、考察、打印复印相关材料，人员调入涉及购买办公耗材、给单位临时工上保险等各种事由导致经费增加。</w:t>
      </w:r>
    </w:p>
    <w:p>
      <w:pPr>
        <w:spacing w:line="360" w:lineRule="auto"/>
        <w:ind w:left="240" w:right="240" w:firstLine="480" w:firstLineChars="200"/>
        <w:rPr>
          <w:rFonts w:eastAsia="宋体" w:cs="仿宋_GB2312"/>
          <w:color w:val="00B0F0"/>
          <w:kern w:val="16"/>
          <w:sz w:val="24"/>
        </w:rPr>
      </w:pPr>
      <w:r>
        <w:rPr>
          <w:rFonts w:hint="eastAsia" w:eastAsia="宋体"/>
          <w:sz w:val="24"/>
        </w:rPr>
        <w:t>收入类结构分析图:</w:t>
      </w:r>
    </w:p>
    <w:p>
      <w:pPr>
        <w:spacing w:line="360" w:lineRule="auto"/>
        <w:ind w:left="-660" w:leftChars="-300" w:right="240"/>
        <w:jc w:val="center"/>
        <w:rPr>
          <w:rFonts w:eastAsia="宋体"/>
          <w:szCs w:val="22"/>
        </w:rPr>
      </w:pPr>
      <w:r>
        <w:rPr>
          <w:rFonts w:eastAsia="宋体"/>
          <w:szCs w:val="22"/>
        </w:rPr>
        <w:drawing>
          <wp:inline distT="0" distB="0" distL="0" distR="0">
            <wp:extent cx="6350000" cy="3467100"/>
            <wp:effectExtent l="0" t="0" r="12700" b="0"/>
            <wp:docPr id="6" name="Drawing 5" descr="收入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5" descr="收入结构分析"/>
                    <pic:cNvPicPr>
                      <a:picLocks noChangeAspect="1"/>
                    </pic:cNvPicPr>
                  </pic:nvPicPr>
                  <pic:blipFill>
                    <a:blip r:embed="rId15"/>
                    <a:stretch>
                      <a:fillRect/>
                    </a:stretch>
                  </pic:blipFill>
                  <pic:spPr>
                    <a:xfrm>
                      <a:off x="0" y="0"/>
                      <a:ext cx="6350000" cy="3467100"/>
                    </a:xfrm>
                    <a:prstGeom prst="rect">
                      <a:avLst/>
                    </a:prstGeom>
                  </pic:spPr>
                </pic:pic>
              </a:graphicData>
            </a:graphic>
          </wp:inline>
        </w:drawing>
      </w:r>
    </w:p>
    <w:p>
      <w:pPr>
        <w:spacing w:line="360" w:lineRule="auto"/>
        <w:ind w:left="240" w:right="240" w:firstLine="480" w:firstLineChars="200"/>
        <w:rPr>
          <w:rFonts w:eastAsia="宋体" w:cs="仿宋_GB2312"/>
          <w:color w:val="00B0F0"/>
          <w:kern w:val="16"/>
          <w:sz w:val="24"/>
        </w:rPr>
      </w:pPr>
    </w:p>
    <w:p>
      <w:pPr>
        <w:spacing w:line="360" w:lineRule="auto"/>
        <w:ind w:left="240" w:right="240" w:firstLine="480" w:firstLineChars="200"/>
        <w:rPr>
          <w:rFonts w:hint="eastAsia" w:eastAsia="宋体" w:cs="仿宋_GB2312"/>
          <w:color w:val="000000" w:themeColor="text1"/>
          <w:kern w:val="16"/>
          <w:sz w:val="24"/>
          <w:lang w:val="en-US" w:eastAsia="zh-CN"/>
          <w14:textFill>
            <w14:solidFill>
              <w14:schemeClr w14:val="tx1"/>
            </w14:solidFill>
          </w14:textFill>
        </w:rPr>
      </w:pPr>
      <w:r>
        <w:rPr>
          <w:rFonts w:hint="eastAsia" w:eastAsia="宋体" w:cs="仿宋_GB2312"/>
          <w:color w:val="000000" w:themeColor="text1"/>
          <w:kern w:val="16"/>
          <w:sz w:val="24"/>
          <w14:textFill>
            <w14:solidFill>
              <w14:schemeClr w14:val="tx1"/>
            </w14:solidFill>
          </w14:textFill>
        </w:rPr>
        <w:t>2.</w:t>
      </w:r>
      <w:r>
        <w:rPr>
          <w:rFonts w:hint="eastAsia" w:eastAsia="宋体" w:cs="仿宋_GB2312"/>
          <w:color w:val="000000" w:themeColor="text1"/>
          <w:kern w:val="16"/>
          <w:sz w:val="24"/>
          <w:lang w:val="en-US" w:eastAsia="zh-CN"/>
          <w14:textFill>
            <w14:solidFill>
              <w14:schemeClr w14:val="tx1"/>
            </w14:solidFill>
          </w14:textFill>
        </w:rPr>
        <w:t>2021年单位</w:t>
      </w:r>
      <w:r>
        <w:rPr>
          <w:rFonts w:hint="eastAsia" w:eastAsia="宋体" w:cs="仿宋_GB2312"/>
          <w:color w:val="000000" w:themeColor="text1"/>
          <w:kern w:val="16"/>
          <w:sz w:val="24"/>
          <w:lang w:eastAsia="zh-CN"/>
          <w14:textFill>
            <w14:solidFill>
              <w14:schemeClr w14:val="tx1"/>
            </w14:solidFill>
          </w14:textFill>
        </w:rPr>
        <w:t>业务活动费用支出总计</w:t>
      </w:r>
      <w:r>
        <w:rPr>
          <w:rFonts w:hint="eastAsia" w:eastAsia="宋体" w:cs="仿宋_GB2312"/>
          <w:color w:val="000000" w:themeColor="text1"/>
          <w:kern w:val="16"/>
          <w:sz w:val="24"/>
          <w:lang w:val="en-US" w:eastAsia="zh-CN"/>
          <w14:textFill>
            <w14:solidFill>
              <w14:schemeClr w14:val="tx1"/>
            </w14:solidFill>
          </w14:textFill>
        </w:rPr>
        <w:t>142.08万元，其中工资福利支出125.87万元，占比88.6%；商品和服务支出16万元，占比11.27%；对个人和家庭的补助费用0.21万元，</w:t>
      </w:r>
      <w:r>
        <w:rPr>
          <w:rFonts w:hint="eastAsia" w:eastAsia="宋体" w:cs="仿宋_GB2312"/>
          <w:color w:val="000000" w:themeColor="text1"/>
          <w:kern w:val="16"/>
          <w:sz w:val="24"/>
          <w:lang w:eastAsia="zh-CN"/>
          <w14:textFill>
            <w14:solidFill>
              <w14:schemeClr w14:val="tx1"/>
            </w14:solidFill>
          </w14:textFill>
        </w:rPr>
        <w:t>占比</w:t>
      </w:r>
      <w:r>
        <w:rPr>
          <w:rFonts w:hint="eastAsia" w:eastAsia="宋体" w:cs="仿宋_GB2312"/>
          <w:color w:val="000000" w:themeColor="text1"/>
          <w:kern w:val="16"/>
          <w:sz w:val="24"/>
          <w:lang w:val="en-US" w:eastAsia="zh-CN"/>
          <w14:textFill>
            <w14:solidFill>
              <w14:schemeClr w14:val="tx1"/>
            </w14:solidFill>
          </w14:textFill>
        </w:rPr>
        <w:t>0.13%。支出以工资福利支出为主体，主要用于人员工资及保险支出等。</w:t>
      </w:r>
    </w:p>
    <w:p>
      <w:pPr>
        <w:spacing w:line="360" w:lineRule="auto"/>
        <w:ind w:left="240" w:right="240" w:firstLine="480" w:firstLineChars="200"/>
        <w:rPr>
          <w:rFonts w:eastAsia="宋体" w:cs="仿宋_GB2312"/>
          <w:color w:val="000000" w:themeColor="text1"/>
          <w:kern w:val="16"/>
          <w:sz w:val="24"/>
          <w14:textFill>
            <w14:solidFill>
              <w14:schemeClr w14:val="tx1"/>
            </w14:solidFill>
          </w14:textFill>
        </w:rPr>
      </w:pPr>
      <w:r>
        <w:rPr>
          <w:rFonts w:hint="eastAsia" w:eastAsia="宋体" w:cs="仿宋_GB2312"/>
          <w:color w:val="000000" w:themeColor="text1"/>
          <w:kern w:val="16"/>
          <w:sz w:val="24"/>
          <w14:textFill>
            <w14:solidFill>
              <w14:schemeClr w14:val="tx1"/>
            </w14:solidFill>
          </w14:textFill>
        </w:rPr>
        <w:t>费用(按科目)分析图：</w:t>
      </w:r>
    </w:p>
    <w:p>
      <w:pPr>
        <w:spacing w:line="360" w:lineRule="auto"/>
        <w:ind w:left="-660" w:leftChars="-300" w:right="240"/>
        <w:jc w:val="center"/>
        <w:rPr>
          <w:rFonts w:eastAsia="宋体"/>
          <w:szCs w:val="22"/>
        </w:rPr>
      </w:pPr>
      <w:r>
        <w:rPr>
          <w:rFonts w:hint="eastAsia" w:eastAsia="宋体"/>
          <w:szCs w:val="22"/>
        </w:rPr>
        <w:drawing>
          <wp:inline distT="0" distB="0" distL="0" distR="0">
            <wp:extent cx="6350000" cy="3467100"/>
            <wp:effectExtent l="0" t="0" r="12700" b="0"/>
            <wp:docPr id="7" name="Drawing 6" descr="费用按科目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6" descr="费用按科目分析"/>
                    <pic:cNvPicPr>
                      <a:picLocks noChangeAspect="1"/>
                    </pic:cNvPicPr>
                  </pic:nvPicPr>
                  <pic:blipFill>
                    <a:blip r:embed="rId16"/>
                    <a:stretch>
                      <a:fillRect/>
                    </a:stretch>
                  </pic:blipFill>
                  <pic:spPr>
                    <a:xfrm>
                      <a:off x="0" y="0"/>
                      <a:ext cx="6350000" cy="3467100"/>
                    </a:xfrm>
                    <a:prstGeom prst="rect">
                      <a:avLst/>
                    </a:prstGeom>
                  </pic:spPr>
                </pic:pic>
              </a:graphicData>
            </a:graphic>
          </wp:inline>
        </w:drawing>
      </w:r>
    </w:p>
    <w:p>
      <w:pPr>
        <w:spacing w:line="360" w:lineRule="auto"/>
        <w:ind w:left="240" w:right="240" w:firstLine="480" w:firstLineChars="200"/>
        <w:rPr>
          <w:rFonts w:eastAsia="宋体" w:cs="仿宋_GB2312"/>
          <w:color w:val="00B0F0"/>
          <w:kern w:val="16"/>
          <w:sz w:val="24"/>
        </w:rPr>
      </w:pPr>
    </w:p>
    <w:p>
      <w:pPr>
        <w:spacing w:line="360" w:lineRule="auto"/>
        <w:ind w:left="240" w:right="240" w:firstLine="480" w:firstLineChars="200"/>
        <w:rPr>
          <w:rFonts w:eastAsia="宋体" w:cs="仿宋_GB2312"/>
          <w:color w:val="000000" w:themeColor="text1"/>
          <w:kern w:val="16"/>
          <w:sz w:val="24"/>
          <w14:textFill>
            <w14:solidFill>
              <w14:schemeClr w14:val="tx1"/>
            </w14:solidFill>
          </w14:textFill>
        </w:rPr>
      </w:pPr>
      <w:r>
        <w:rPr>
          <w:rFonts w:hint="eastAsia" w:eastAsia="宋体" w:cs="仿宋_GB2312"/>
          <w:color w:val="000000" w:themeColor="text1"/>
          <w:kern w:val="16"/>
          <w:sz w:val="24"/>
          <w14:textFill>
            <w14:solidFill>
              <w14:schemeClr w14:val="tx1"/>
            </w14:solidFill>
          </w14:textFill>
        </w:rPr>
        <w:t>费用(按经济性质)分析图：</w:t>
      </w:r>
    </w:p>
    <w:p>
      <w:pPr>
        <w:spacing w:line="360" w:lineRule="auto"/>
        <w:ind w:left="-660" w:leftChars="-300" w:right="240"/>
        <w:jc w:val="center"/>
        <w:rPr>
          <w:rFonts w:eastAsia="宋体"/>
          <w:szCs w:val="22"/>
        </w:rPr>
      </w:pPr>
      <w:r>
        <w:rPr>
          <w:rFonts w:hint="eastAsia" w:eastAsia="宋体"/>
          <w:szCs w:val="22"/>
        </w:rPr>
        <w:drawing>
          <wp:inline distT="0" distB="0" distL="0" distR="0">
            <wp:extent cx="6350000" cy="3467100"/>
            <wp:effectExtent l="0" t="0" r="12700" b="0"/>
            <wp:docPr id="8" name="Drawing 7" descr="费用按经济性质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7" descr="费用按经济性质分析"/>
                    <pic:cNvPicPr>
                      <a:picLocks noChangeAspect="1"/>
                    </pic:cNvPicPr>
                  </pic:nvPicPr>
                  <pic:blipFill>
                    <a:blip r:embed="rId17"/>
                    <a:stretch>
                      <a:fillRect/>
                    </a:stretch>
                  </pic:blipFill>
                  <pic:spPr>
                    <a:xfrm>
                      <a:off x="0" y="0"/>
                      <a:ext cx="6350000" cy="3467100"/>
                    </a:xfrm>
                    <a:prstGeom prst="rect">
                      <a:avLst/>
                    </a:prstGeom>
                  </pic:spPr>
                </pic:pic>
              </a:graphicData>
            </a:graphic>
          </wp:inline>
        </w:drawing>
      </w:r>
    </w:p>
    <w:p>
      <w:pPr>
        <w:spacing w:line="360" w:lineRule="auto"/>
        <w:ind w:left="240" w:right="240" w:firstLine="480" w:firstLineChars="200"/>
        <w:rPr>
          <w:rFonts w:eastAsia="宋体" w:cs="仿宋_GB2312"/>
          <w:color w:val="000000" w:themeColor="text1"/>
          <w:kern w:val="16"/>
          <w:sz w:val="24"/>
          <w14:textFill>
            <w14:solidFill>
              <w14:schemeClr w14:val="tx1"/>
            </w14:solidFill>
          </w14:textFill>
        </w:rPr>
      </w:pPr>
    </w:p>
    <w:p>
      <w:pPr>
        <w:spacing w:line="360" w:lineRule="auto"/>
        <w:ind w:left="240" w:right="240" w:firstLine="480" w:firstLineChars="200"/>
        <w:rPr>
          <w:rFonts w:eastAsia="宋体" w:cs="仿宋_GB2312"/>
          <w:color w:val="000000" w:themeColor="text1"/>
          <w:kern w:val="16"/>
          <w:sz w:val="24"/>
          <w14:textFill>
            <w14:solidFill>
              <w14:schemeClr w14:val="tx1"/>
            </w14:solidFill>
          </w14:textFill>
        </w:rPr>
      </w:pPr>
      <w:r>
        <w:rPr>
          <w:rFonts w:eastAsia="宋体" w:cs="仿宋_GB2312"/>
          <w:color w:val="000000" w:themeColor="text1"/>
          <w:kern w:val="16"/>
          <w:sz w:val="24"/>
          <w14:textFill>
            <w14:solidFill>
              <w14:schemeClr w14:val="tx1"/>
            </w14:solidFill>
          </w14:textFill>
        </w:rPr>
        <w:t>3.</w:t>
      </w:r>
      <w:r>
        <w:rPr>
          <w:rFonts w:hint="eastAsia" w:eastAsia="宋体" w:cs="仿宋_GB2312"/>
          <w:color w:val="000000" w:themeColor="text1"/>
          <w:kern w:val="16"/>
          <w:sz w:val="24"/>
          <w:lang w:eastAsia="zh-CN"/>
          <w14:textFill>
            <w14:solidFill>
              <w14:schemeClr w14:val="tx1"/>
            </w14:solidFill>
          </w14:textFill>
        </w:rPr>
        <w:t>我单位</w:t>
      </w:r>
      <w:r>
        <w:rPr>
          <w:rFonts w:eastAsia="宋体" w:cs="仿宋_GB2312"/>
          <w:color w:val="000000" w:themeColor="text1"/>
          <w:kern w:val="16"/>
          <w:sz w:val="24"/>
          <w14:textFill>
            <w14:solidFill>
              <w14:schemeClr w14:val="tx1"/>
            </w14:solidFill>
          </w14:textFill>
        </w:rPr>
        <w:t>收入费用率</w:t>
      </w:r>
      <w:r>
        <w:rPr>
          <w:rFonts w:hint="eastAsia" w:eastAsia="宋体" w:cs="仿宋_GB2312"/>
          <w:color w:val="000000" w:themeColor="text1"/>
          <w:kern w:val="16"/>
          <w:sz w:val="24"/>
          <w:lang w:val="en-US" w:eastAsia="zh-CN"/>
          <w14:textFill>
            <w14:solidFill>
              <w14:schemeClr w14:val="tx1"/>
            </w14:solidFill>
          </w14:textFill>
        </w:rPr>
        <w:t>100.00%。可以持续满足正常业务工作开展。</w:t>
      </w:r>
    </w:p>
    <w:p>
      <w:pPr>
        <w:spacing w:line="360" w:lineRule="auto"/>
        <w:ind w:left="240" w:right="240" w:firstLine="480" w:firstLineChars="200"/>
        <w:rPr>
          <w:rFonts w:eastAsia="宋体" w:cs="仿宋_GB2312"/>
          <w:color w:val="000000" w:themeColor="text1"/>
          <w:kern w:val="16"/>
          <w:sz w:val="24"/>
          <w14:textFill>
            <w14:solidFill>
              <w14:schemeClr w14:val="tx1"/>
            </w14:solidFill>
          </w14:textFill>
        </w:rPr>
      </w:pPr>
      <w:r>
        <w:rPr>
          <w:rFonts w:hint="eastAsia" w:eastAsia="宋体" w:cs="仿宋_GB2312"/>
          <w:color w:val="000000" w:themeColor="text1"/>
          <w:kern w:val="16"/>
          <w:sz w:val="24"/>
          <w14:textFill>
            <w14:solidFill>
              <w14:schemeClr w14:val="tx1"/>
            </w14:solidFill>
          </w14:textFill>
        </w:rPr>
        <w:t>部门财务状况分析图:</w:t>
      </w:r>
    </w:p>
    <w:p>
      <w:pPr>
        <w:spacing w:line="360" w:lineRule="auto"/>
        <w:ind w:left="-660" w:leftChars="-300" w:right="240"/>
        <w:jc w:val="center"/>
        <w:rPr>
          <w:rFonts w:eastAsia="宋体"/>
          <w:szCs w:val="22"/>
        </w:rPr>
      </w:pPr>
      <w:r>
        <w:rPr>
          <w:rFonts w:eastAsia="宋体"/>
          <w:szCs w:val="22"/>
        </w:rPr>
        <w:drawing>
          <wp:inline distT="0" distB="0" distL="0" distR="0">
            <wp:extent cx="6350000" cy="3467100"/>
            <wp:effectExtent l="0" t="0" r="12700" b="0"/>
            <wp:docPr id="9" name="Drawing 8" descr="部门财务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wing 8" descr="部门财务分析"/>
                    <pic:cNvPicPr>
                      <a:picLocks noChangeAspect="1"/>
                    </pic:cNvPicPr>
                  </pic:nvPicPr>
                  <pic:blipFill>
                    <a:blip r:embed="rId14"/>
                    <a:stretch>
                      <a:fillRect/>
                    </a:stretch>
                  </pic:blipFill>
                  <pic:spPr>
                    <a:xfrm>
                      <a:off x="0" y="0"/>
                      <a:ext cx="6350000" cy="3467100"/>
                    </a:xfrm>
                    <a:prstGeom prst="rect">
                      <a:avLst/>
                    </a:prstGeom>
                  </pic:spPr>
                </pic:pic>
              </a:graphicData>
            </a:graphic>
          </wp:inline>
        </w:drawing>
      </w:r>
    </w:p>
    <w:p>
      <w:pPr>
        <w:spacing w:line="360" w:lineRule="auto"/>
        <w:ind w:left="240" w:right="240" w:firstLine="480" w:firstLineChars="200"/>
        <w:rPr>
          <w:rFonts w:eastAsia="宋体" w:cs="仿宋_GB2312"/>
          <w:color w:val="00B0F0"/>
          <w:kern w:val="16"/>
          <w:sz w:val="24"/>
        </w:rPr>
      </w:pPr>
    </w:p>
    <w:p>
      <w:pPr>
        <w:pStyle w:val="3"/>
        <w:spacing w:before="0" w:after="0" w:line="360" w:lineRule="auto"/>
        <w:ind w:left="220" w:leftChars="100"/>
        <w:jc w:val="left"/>
        <w:rPr>
          <w:rFonts w:ascii="楷体_GB2312" w:hAnsi="楷体_GB2312" w:eastAsia="楷体_GB2312" w:cs="楷体_GB2312"/>
          <w:b w:val="0"/>
          <w:color w:val="000000"/>
          <w:sz w:val="30"/>
          <w:szCs w:val="30"/>
        </w:rPr>
      </w:pPr>
      <w:bookmarkStart w:id="84" w:name="_Toc436083534"/>
      <w:bookmarkStart w:id="85" w:name="_Toc503548891"/>
      <w:bookmarkStart w:id="86" w:name="_Toc35500817"/>
      <w:bookmarkStart w:id="87" w:name="_Toc35452589"/>
      <w:r>
        <w:rPr>
          <w:rFonts w:hint="eastAsia" w:ascii="楷体_GB2312" w:hAnsi="楷体_GB2312" w:eastAsia="楷体_GB2312" w:cs="楷体_GB2312"/>
          <w:b w:val="0"/>
          <w:color w:val="000000"/>
          <w:sz w:val="30"/>
          <w:szCs w:val="30"/>
        </w:rPr>
        <w:t>（四）</w:t>
      </w:r>
      <w:bookmarkEnd w:id="84"/>
      <w:bookmarkEnd w:id="85"/>
      <w:r>
        <w:rPr>
          <w:rFonts w:ascii="楷体_GB2312" w:hAnsi="楷体_GB2312" w:eastAsia="楷体_GB2312" w:cs="楷体_GB2312"/>
          <w:b w:val="0"/>
          <w:color w:val="000000"/>
          <w:sz w:val="30"/>
          <w:szCs w:val="30"/>
        </w:rPr>
        <w:t>政府部门财务管理情况</w:t>
      </w:r>
      <w:bookmarkEnd w:id="86"/>
      <w:bookmarkEnd w:id="87"/>
    </w:p>
    <w:p>
      <w:pPr>
        <w:spacing w:line="360" w:lineRule="auto"/>
        <w:ind w:left="240" w:right="240" w:firstLine="480" w:firstLineChars="200"/>
        <w:rPr>
          <w:rFonts w:hint="eastAsia" w:eastAsia="宋体" w:cs="仿宋_GB2312"/>
          <w:color w:val="000000" w:themeColor="text1"/>
          <w:kern w:val="16"/>
          <w:sz w:val="24"/>
          <w:lang w:eastAsia="zh-CN"/>
          <w14:textFill>
            <w14:solidFill>
              <w14:schemeClr w14:val="tx1"/>
            </w14:solidFill>
          </w14:textFill>
        </w:rPr>
      </w:pPr>
      <w:r>
        <w:rPr>
          <w:rFonts w:hint="eastAsia" w:eastAsia="宋体" w:cs="仿宋_GB2312"/>
          <w:color w:val="000000" w:themeColor="text1"/>
          <w:kern w:val="16"/>
          <w:sz w:val="24"/>
          <w:lang w:eastAsia="zh-CN"/>
          <w14:textFill>
            <w14:solidFill>
              <w14:schemeClr w14:val="tx1"/>
            </w14:solidFill>
          </w14:textFill>
        </w:rPr>
        <w:t>在预算方面，按照财政局预算编制管理要求，按要求填报《项目支出绩效目标申报表》，包括立项依据、项目内容和目标、本年度预算目标、年度绩效目标和绩效指标、中期绩效目标和绩效指标等，作为项目审核的依据，对申报的预算项目包括绩效内容、绩效指标和绩效标准加强审核，进行全面梳理、合理保障。</w:t>
      </w:r>
    </w:p>
    <w:p>
      <w:pPr>
        <w:spacing w:line="360" w:lineRule="auto"/>
        <w:ind w:left="240" w:right="240" w:firstLine="480" w:firstLineChars="200"/>
        <w:rPr>
          <w:rFonts w:hint="eastAsia" w:eastAsia="宋体" w:cs="仿宋_GB2312"/>
          <w:color w:val="000000" w:themeColor="text1"/>
          <w:kern w:val="16"/>
          <w:sz w:val="24"/>
          <w:lang w:eastAsia="zh-CN"/>
          <w14:textFill>
            <w14:solidFill>
              <w14:schemeClr w14:val="tx1"/>
            </w14:solidFill>
          </w14:textFill>
        </w:rPr>
      </w:pPr>
      <w:r>
        <w:rPr>
          <w:rFonts w:hint="eastAsia" w:eastAsia="宋体" w:cs="仿宋_GB2312"/>
          <w:color w:val="000000" w:themeColor="text1"/>
          <w:kern w:val="16"/>
          <w:sz w:val="24"/>
          <w:lang w:eastAsia="zh-CN"/>
          <w14:textFill>
            <w14:solidFill>
              <w14:schemeClr w14:val="tx1"/>
            </w14:solidFill>
          </w14:textFill>
        </w:rPr>
        <w:t>在内控管理方面，制定内控制度，并严格按照相关规章制度加强内控管理，确保资金安全。一是强化组织领导，建立内控工作机制。二是认真落实工作，及时开展基础性评价。三是加强监督检查，做好“回头看”工作。</w:t>
      </w:r>
    </w:p>
    <w:p>
      <w:pPr>
        <w:spacing w:line="360" w:lineRule="auto"/>
        <w:ind w:left="240" w:right="240" w:firstLine="480" w:firstLineChars="200"/>
        <w:rPr>
          <w:rFonts w:hint="default" w:eastAsia="宋体" w:cs="仿宋_GB2312"/>
          <w:color w:val="000000" w:themeColor="text1"/>
          <w:kern w:val="16"/>
          <w:sz w:val="24"/>
          <w:lang w:val="en-US" w:eastAsia="zh-CN"/>
          <w14:textFill>
            <w14:solidFill>
              <w14:schemeClr w14:val="tx1"/>
            </w14:solidFill>
          </w14:textFill>
        </w:rPr>
      </w:pPr>
      <w:r>
        <w:rPr>
          <w:rFonts w:hint="eastAsia" w:eastAsia="宋体" w:cs="仿宋_GB2312"/>
          <w:color w:val="000000" w:themeColor="text1"/>
          <w:kern w:val="16"/>
          <w:sz w:val="24"/>
          <w:lang w:eastAsia="zh-CN"/>
          <w14:textFill>
            <w14:solidFill>
              <w14:schemeClr w14:val="tx1"/>
            </w14:solidFill>
          </w14:textFill>
        </w:rPr>
        <w:t>在资产管理方面，严格按照现行固定资产管理制度管理，确保资产合理有效利用。为保证资产安全和有效使用，财务信息真实完整，有效防范舞弊和腐败。我单位进一步完善资产信息系统，实现对资产的动态管理。</w:t>
      </w:r>
    </w:p>
    <w:p>
      <w:pPr>
        <w:spacing w:line="360" w:lineRule="auto"/>
        <w:ind w:left="240" w:right="240" w:firstLine="480" w:firstLineChars="200"/>
        <w:rPr>
          <w:rFonts w:eastAsia="宋体" w:cs="仿宋_GB2312"/>
          <w:color w:val="000000" w:themeColor="text1"/>
          <w:kern w:val="16"/>
          <w:sz w:val="24"/>
          <w14:textFill>
            <w14:solidFill>
              <w14:schemeClr w14:val="tx1"/>
            </w14:solidFill>
          </w14:textFill>
        </w:rPr>
      </w:pPr>
    </w:p>
    <w:sectPr>
      <w:pgSz w:w="11906" w:h="16838"/>
      <w:pgMar w:top="1440" w:right="1083" w:bottom="1440" w:left="1083" w:header="0" w:footer="72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ExtB">
    <w:panose1 w:val="02010609060101010101"/>
    <w:charset w:val="86"/>
    <w:family w:val="modern"/>
    <w:pitch w:val="default"/>
    <w:sig w:usb0="00000001" w:usb1="02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jaVu Sans">
    <w:altName w:val="Verdana"/>
    <w:panose1 w:val="00000000000000000000"/>
    <w:charset w:val="00"/>
    <w:family w:val="roman"/>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240" w:right="360"/>
      <w:jc w:val="center"/>
      <w:rPr>
        <w:rFonts w:ascii="仿宋" w:hAnsi="仿宋"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7"/>
      </w:rPr>
      <w:id w:val="-2002197135"/>
      <w:docPartObj>
        <w:docPartGallery w:val="autotext"/>
      </w:docPartObj>
    </w:sdtPr>
    <w:sdtEndPr>
      <w:rPr>
        <w:rStyle w:val="37"/>
      </w:rPr>
    </w:sdtEndPr>
    <w:sdtContent>
      <w:p>
        <w:pPr>
          <w:pStyle w:val="21"/>
          <w:framePr w:wrap="around" w:vAnchor="text" w:hAnchor="margin" w:xAlign="center" w:y="1"/>
          <w:rPr>
            <w:rStyle w:val="37"/>
          </w:rPr>
        </w:pPr>
        <w:r>
          <w:rPr>
            <w:rStyle w:val="37"/>
          </w:rPr>
          <w:fldChar w:fldCharType="begin"/>
        </w:r>
        <w:r>
          <w:rPr>
            <w:rStyle w:val="37"/>
          </w:rPr>
          <w:instrText xml:space="preserve"> PAGE </w:instrText>
        </w:r>
        <w:r>
          <w:rPr>
            <w:rStyle w:val="37"/>
          </w:rPr>
          <w:fldChar w:fldCharType="separate"/>
        </w:r>
        <w:r>
          <w:rPr>
            <w:rStyle w:val="37"/>
          </w:rPr>
          <w:t>1</w:t>
        </w:r>
        <w:r>
          <w:rPr>
            <w:rStyle w:val="37"/>
          </w:rPr>
          <w:fldChar w:fldCharType="end"/>
        </w:r>
      </w:p>
    </w:sdtContent>
  </w:sdt>
  <w:p>
    <w:pPr>
      <w:pStyle w:val="21"/>
      <w:ind w:left="240" w:right="360"/>
      <w:jc w:val="center"/>
      <w:rPr>
        <w:rFonts w:ascii="仿宋" w:hAnsi="仿宋" w:eastAsia="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7"/>
      </w:rPr>
      <w:id w:val="98609866"/>
      <w:docPartObj>
        <w:docPartGallery w:val="autotext"/>
      </w:docPartObj>
    </w:sdtPr>
    <w:sdtEndPr>
      <w:rPr>
        <w:rStyle w:val="37"/>
      </w:rPr>
    </w:sdtEndPr>
    <w:sdtContent>
      <w:p>
        <w:pPr>
          <w:pStyle w:val="21"/>
          <w:framePr w:wrap="around" w:vAnchor="text" w:hAnchor="margin" w:xAlign="center" w:y="1"/>
          <w:rPr>
            <w:rStyle w:val="37"/>
          </w:rPr>
        </w:pPr>
        <w:r>
          <w:rPr>
            <w:rStyle w:val="37"/>
          </w:rPr>
          <w:fldChar w:fldCharType="begin"/>
        </w:r>
        <w:r>
          <w:rPr>
            <w:rStyle w:val="37"/>
          </w:rPr>
          <w:instrText xml:space="preserve"> PAGE </w:instrText>
        </w:r>
        <w:r>
          <w:rPr>
            <w:rStyle w:val="37"/>
          </w:rPr>
          <w:fldChar w:fldCharType="separate"/>
        </w:r>
        <w:r>
          <w:rPr>
            <w:rStyle w:val="37"/>
          </w:rPr>
          <w:t>1</w:t>
        </w:r>
        <w:r>
          <w:rPr>
            <w:rStyle w:val="37"/>
          </w:rPr>
          <w:fldChar w:fldCharType="end"/>
        </w:r>
      </w:p>
    </w:sdtContent>
  </w:sdt>
  <w:p>
    <w:pPr>
      <w:pStyle w:val="21"/>
      <w:jc w:val="center"/>
      <w:rPr>
        <w:rFonts w:ascii="仿宋" w:hAnsi="仿宋" w:eastAsia="仿宋"/>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40" w:right="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40"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doNotCompress"/>
  <w:noLineBreaksAfter w:lang="zh-CN" w:val="$([{£¥·‘“〈《「『【〔〖〝﹙﹛﹝＄（．［｛￡￥"/>
  <w:noLineBreaksBefore w:lang="zh-CN" w:val="!%),.:;&gt;?]}¢¨°·ˇˉ―‖’”…‰′″›℃∶、。〃〉》」』】〕〗〞︶︺︾﹀﹄﹚﹜﹞！＂％＇），．：；？］｀｜｝～￠"/>
  <w:footnotePr>
    <w:numFmt w:val="decimalEnclosedCircleChinese"/>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hYjdkM2ZmNzYyYWEyOTZkZmRmMmExOTNhNGEzYzYifQ=="/>
  </w:docVars>
  <w:rsids>
    <w:rsidRoot w:val="00B7000A"/>
    <w:rsid w:val="00000769"/>
    <w:rsid w:val="00001875"/>
    <w:rsid w:val="00001DA2"/>
    <w:rsid w:val="00003542"/>
    <w:rsid w:val="00003D4F"/>
    <w:rsid w:val="00005632"/>
    <w:rsid w:val="00005D80"/>
    <w:rsid w:val="00006043"/>
    <w:rsid w:val="00006125"/>
    <w:rsid w:val="000073F5"/>
    <w:rsid w:val="00007ACE"/>
    <w:rsid w:val="0001053B"/>
    <w:rsid w:val="000116C9"/>
    <w:rsid w:val="00012C4B"/>
    <w:rsid w:val="00012EB0"/>
    <w:rsid w:val="00013EC7"/>
    <w:rsid w:val="0001401B"/>
    <w:rsid w:val="00014AA7"/>
    <w:rsid w:val="00015324"/>
    <w:rsid w:val="00016B3D"/>
    <w:rsid w:val="00016DDF"/>
    <w:rsid w:val="00017068"/>
    <w:rsid w:val="00020A10"/>
    <w:rsid w:val="00021F19"/>
    <w:rsid w:val="000220CF"/>
    <w:rsid w:val="00022E5B"/>
    <w:rsid w:val="00024B77"/>
    <w:rsid w:val="00024E2E"/>
    <w:rsid w:val="00025161"/>
    <w:rsid w:val="00030183"/>
    <w:rsid w:val="00030B80"/>
    <w:rsid w:val="0003107E"/>
    <w:rsid w:val="000329FA"/>
    <w:rsid w:val="0003429E"/>
    <w:rsid w:val="00034D1A"/>
    <w:rsid w:val="000350CD"/>
    <w:rsid w:val="000355A9"/>
    <w:rsid w:val="00035C9B"/>
    <w:rsid w:val="000376E3"/>
    <w:rsid w:val="00037798"/>
    <w:rsid w:val="000406AA"/>
    <w:rsid w:val="00042520"/>
    <w:rsid w:val="0004279A"/>
    <w:rsid w:val="00043D78"/>
    <w:rsid w:val="00044F77"/>
    <w:rsid w:val="00045215"/>
    <w:rsid w:val="0004568F"/>
    <w:rsid w:val="00045AB1"/>
    <w:rsid w:val="00051605"/>
    <w:rsid w:val="000518FB"/>
    <w:rsid w:val="000524A3"/>
    <w:rsid w:val="000550B8"/>
    <w:rsid w:val="00056671"/>
    <w:rsid w:val="00056A1E"/>
    <w:rsid w:val="00057002"/>
    <w:rsid w:val="00060A24"/>
    <w:rsid w:val="00061C73"/>
    <w:rsid w:val="000648ED"/>
    <w:rsid w:val="000658F0"/>
    <w:rsid w:val="000671C8"/>
    <w:rsid w:val="000671F7"/>
    <w:rsid w:val="00067E05"/>
    <w:rsid w:val="000705FA"/>
    <w:rsid w:val="00070862"/>
    <w:rsid w:val="0007116B"/>
    <w:rsid w:val="00071A7A"/>
    <w:rsid w:val="00074FE7"/>
    <w:rsid w:val="00075841"/>
    <w:rsid w:val="00075C7E"/>
    <w:rsid w:val="00075F12"/>
    <w:rsid w:val="000764EE"/>
    <w:rsid w:val="000774A6"/>
    <w:rsid w:val="000776D8"/>
    <w:rsid w:val="000823CD"/>
    <w:rsid w:val="000838FB"/>
    <w:rsid w:val="00084BB6"/>
    <w:rsid w:val="000850F5"/>
    <w:rsid w:val="00086A07"/>
    <w:rsid w:val="00086A7D"/>
    <w:rsid w:val="000870A3"/>
    <w:rsid w:val="00090C8A"/>
    <w:rsid w:val="000922B9"/>
    <w:rsid w:val="000949F2"/>
    <w:rsid w:val="000958AE"/>
    <w:rsid w:val="00097B38"/>
    <w:rsid w:val="000A12FF"/>
    <w:rsid w:val="000A16A6"/>
    <w:rsid w:val="000A2130"/>
    <w:rsid w:val="000A22D9"/>
    <w:rsid w:val="000A35DC"/>
    <w:rsid w:val="000A44B0"/>
    <w:rsid w:val="000A4BE2"/>
    <w:rsid w:val="000A4CD0"/>
    <w:rsid w:val="000A514F"/>
    <w:rsid w:val="000A60C9"/>
    <w:rsid w:val="000A6650"/>
    <w:rsid w:val="000A7312"/>
    <w:rsid w:val="000A7E42"/>
    <w:rsid w:val="000B083A"/>
    <w:rsid w:val="000B0EA6"/>
    <w:rsid w:val="000B1202"/>
    <w:rsid w:val="000B1C40"/>
    <w:rsid w:val="000B1C95"/>
    <w:rsid w:val="000B7274"/>
    <w:rsid w:val="000B7A45"/>
    <w:rsid w:val="000C0493"/>
    <w:rsid w:val="000C08B8"/>
    <w:rsid w:val="000C092E"/>
    <w:rsid w:val="000C0C01"/>
    <w:rsid w:val="000C0F1F"/>
    <w:rsid w:val="000C29C6"/>
    <w:rsid w:val="000C375E"/>
    <w:rsid w:val="000C3DEA"/>
    <w:rsid w:val="000C48D6"/>
    <w:rsid w:val="000C490D"/>
    <w:rsid w:val="000C5B8A"/>
    <w:rsid w:val="000C6630"/>
    <w:rsid w:val="000C6A88"/>
    <w:rsid w:val="000D069C"/>
    <w:rsid w:val="000D2D84"/>
    <w:rsid w:val="000D575F"/>
    <w:rsid w:val="000D7026"/>
    <w:rsid w:val="000E296D"/>
    <w:rsid w:val="000E2AFB"/>
    <w:rsid w:val="000E552E"/>
    <w:rsid w:val="000E58D5"/>
    <w:rsid w:val="000E607C"/>
    <w:rsid w:val="000E7147"/>
    <w:rsid w:val="000F050D"/>
    <w:rsid w:val="000F0E6A"/>
    <w:rsid w:val="000F0E76"/>
    <w:rsid w:val="000F1A84"/>
    <w:rsid w:val="000F2D51"/>
    <w:rsid w:val="000F339E"/>
    <w:rsid w:val="000F486C"/>
    <w:rsid w:val="000F5C4F"/>
    <w:rsid w:val="000F67B1"/>
    <w:rsid w:val="00100675"/>
    <w:rsid w:val="00101331"/>
    <w:rsid w:val="001014E6"/>
    <w:rsid w:val="00101871"/>
    <w:rsid w:val="00102038"/>
    <w:rsid w:val="00102186"/>
    <w:rsid w:val="00102256"/>
    <w:rsid w:val="00102702"/>
    <w:rsid w:val="0010314B"/>
    <w:rsid w:val="00103C6B"/>
    <w:rsid w:val="00103E08"/>
    <w:rsid w:val="00104C9B"/>
    <w:rsid w:val="00105AEE"/>
    <w:rsid w:val="00107B24"/>
    <w:rsid w:val="00107E8B"/>
    <w:rsid w:val="001107A6"/>
    <w:rsid w:val="001109B6"/>
    <w:rsid w:val="001118AF"/>
    <w:rsid w:val="00111CD8"/>
    <w:rsid w:val="00112D8E"/>
    <w:rsid w:val="001142C8"/>
    <w:rsid w:val="001147E2"/>
    <w:rsid w:val="00115725"/>
    <w:rsid w:val="00115E97"/>
    <w:rsid w:val="001162F8"/>
    <w:rsid w:val="0012075A"/>
    <w:rsid w:val="00122A2B"/>
    <w:rsid w:val="00122C83"/>
    <w:rsid w:val="00123778"/>
    <w:rsid w:val="001249B1"/>
    <w:rsid w:val="00125531"/>
    <w:rsid w:val="00126554"/>
    <w:rsid w:val="001274D7"/>
    <w:rsid w:val="00127BC8"/>
    <w:rsid w:val="00127E02"/>
    <w:rsid w:val="00130483"/>
    <w:rsid w:val="00130C64"/>
    <w:rsid w:val="0013119C"/>
    <w:rsid w:val="001325BB"/>
    <w:rsid w:val="0013293B"/>
    <w:rsid w:val="0013466A"/>
    <w:rsid w:val="00135FCF"/>
    <w:rsid w:val="001360A0"/>
    <w:rsid w:val="00136B58"/>
    <w:rsid w:val="0013729D"/>
    <w:rsid w:val="001378A2"/>
    <w:rsid w:val="0014037F"/>
    <w:rsid w:val="00140D1D"/>
    <w:rsid w:val="00141101"/>
    <w:rsid w:val="00141CC6"/>
    <w:rsid w:val="00143282"/>
    <w:rsid w:val="00144A75"/>
    <w:rsid w:val="00144F88"/>
    <w:rsid w:val="001450A4"/>
    <w:rsid w:val="0014526F"/>
    <w:rsid w:val="00147A03"/>
    <w:rsid w:val="0015075E"/>
    <w:rsid w:val="001511CD"/>
    <w:rsid w:val="00153763"/>
    <w:rsid w:val="001632D2"/>
    <w:rsid w:val="0016377B"/>
    <w:rsid w:val="001641DD"/>
    <w:rsid w:val="001649F2"/>
    <w:rsid w:val="0016697A"/>
    <w:rsid w:val="00167CC1"/>
    <w:rsid w:val="00167DF7"/>
    <w:rsid w:val="00172398"/>
    <w:rsid w:val="001728C1"/>
    <w:rsid w:val="00173869"/>
    <w:rsid w:val="001749D8"/>
    <w:rsid w:val="00177AF1"/>
    <w:rsid w:val="0018105E"/>
    <w:rsid w:val="00181ED4"/>
    <w:rsid w:val="001856D7"/>
    <w:rsid w:val="00186921"/>
    <w:rsid w:val="001871E1"/>
    <w:rsid w:val="001879A6"/>
    <w:rsid w:val="00192BFF"/>
    <w:rsid w:val="00193CDE"/>
    <w:rsid w:val="001942C0"/>
    <w:rsid w:val="0019550F"/>
    <w:rsid w:val="001A066C"/>
    <w:rsid w:val="001A0727"/>
    <w:rsid w:val="001A206F"/>
    <w:rsid w:val="001A4BB0"/>
    <w:rsid w:val="001A50A4"/>
    <w:rsid w:val="001B1C30"/>
    <w:rsid w:val="001B1E04"/>
    <w:rsid w:val="001B21A4"/>
    <w:rsid w:val="001B22EA"/>
    <w:rsid w:val="001B331A"/>
    <w:rsid w:val="001B5606"/>
    <w:rsid w:val="001B57C1"/>
    <w:rsid w:val="001B6347"/>
    <w:rsid w:val="001B7C5E"/>
    <w:rsid w:val="001C0054"/>
    <w:rsid w:val="001C449F"/>
    <w:rsid w:val="001C517D"/>
    <w:rsid w:val="001C53B3"/>
    <w:rsid w:val="001C553C"/>
    <w:rsid w:val="001C55A7"/>
    <w:rsid w:val="001C6110"/>
    <w:rsid w:val="001C74F9"/>
    <w:rsid w:val="001D0EC0"/>
    <w:rsid w:val="001D17C4"/>
    <w:rsid w:val="001D2123"/>
    <w:rsid w:val="001D2EA7"/>
    <w:rsid w:val="001D6874"/>
    <w:rsid w:val="001D74A1"/>
    <w:rsid w:val="001D7B48"/>
    <w:rsid w:val="001D7CBE"/>
    <w:rsid w:val="001E4D19"/>
    <w:rsid w:val="001E57FA"/>
    <w:rsid w:val="001F25F4"/>
    <w:rsid w:val="001F2DCD"/>
    <w:rsid w:val="001F4143"/>
    <w:rsid w:val="001F54C8"/>
    <w:rsid w:val="001F5A03"/>
    <w:rsid w:val="001F5B96"/>
    <w:rsid w:val="001F67CC"/>
    <w:rsid w:val="001F6D4A"/>
    <w:rsid w:val="001F6F84"/>
    <w:rsid w:val="001F79E5"/>
    <w:rsid w:val="0020407F"/>
    <w:rsid w:val="0020598F"/>
    <w:rsid w:val="00205F38"/>
    <w:rsid w:val="00206746"/>
    <w:rsid w:val="00206BB0"/>
    <w:rsid w:val="002076E3"/>
    <w:rsid w:val="00210A2B"/>
    <w:rsid w:val="002118F2"/>
    <w:rsid w:val="0021191B"/>
    <w:rsid w:val="00211AB7"/>
    <w:rsid w:val="0021436A"/>
    <w:rsid w:val="00214FEF"/>
    <w:rsid w:val="002170DD"/>
    <w:rsid w:val="002175DD"/>
    <w:rsid w:val="00217E61"/>
    <w:rsid w:val="00217F6E"/>
    <w:rsid w:val="002209DF"/>
    <w:rsid w:val="00221E15"/>
    <w:rsid w:val="002223FE"/>
    <w:rsid w:val="0022495C"/>
    <w:rsid w:val="00224F54"/>
    <w:rsid w:val="00225950"/>
    <w:rsid w:val="00225E1C"/>
    <w:rsid w:val="00226734"/>
    <w:rsid w:val="00226EE9"/>
    <w:rsid w:val="002278D9"/>
    <w:rsid w:val="00232060"/>
    <w:rsid w:val="00232346"/>
    <w:rsid w:val="00232F1D"/>
    <w:rsid w:val="00233638"/>
    <w:rsid w:val="00233FC4"/>
    <w:rsid w:val="00234B3B"/>
    <w:rsid w:val="00235F8B"/>
    <w:rsid w:val="00236D26"/>
    <w:rsid w:val="0024034A"/>
    <w:rsid w:val="002404B6"/>
    <w:rsid w:val="002418CD"/>
    <w:rsid w:val="00241AA8"/>
    <w:rsid w:val="00242525"/>
    <w:rsid w:val="00242E1C"/>
    <w:rsid w:val="00243AED"/>
    <w:rsid w:val="00244DC8"/>
    <w:rsid w:val="00245188"/>
    <w:rsid w:val="0024707D"/>
    <w:rsid w:val="002512A3"/>
    <w:rsid w:val="0025326C"/>
    <w:rsid w:val="00254782"/>
    <w:rsid w:val="0025565A"/>
    <w:rsid w:val="00255F1C"/>
    <w:rsid w:val="002565BE"/>
    <w:rsid w:val="002575F2"/>
    <w:rsid w:val="002578CB"/>
    <w:rsid w:val="00260466"/>
    <w:rsid w:val="00260805"/>
    <w:rsid w:val="00260A30"/>
    <w:rsid w:val="00260EEB"/>
    <w:rsid w:val="00262284"/>
    <w:rsid w:val="00262A7D"/>
    <w:rsid w:val="0026307B"/>
    <w:rsid w:val="0026475C"/>
    <w:rsid w:val="00264D04"/>
    <w:rsid w:val="00264D9F"/>
    <w:rsid w:val="0026523B"/>
    <w:rsid w:val="00270F44"/>
    <w:rsid w:val="00271F2D"/>
    <w:rsid w:val="00272542"/>
    <w:rsid w:val="002744F3"/>
    <w:rsid w:val="0027629C"/>
    <w:rsid w:val="00277626"/>
    <w:rsid w:val="00280B8A"/>
    <w:rsid w:val="00280F92"/>
    <w:rsid w:val="0028166B"/>
    <w:rsid w:val="00282B18"/>
    <w:rsid w:val="002831B2"/>
    <w:rsid w:val="00285850"/>
    <w:rsid w:val="00285B9C"/>
    <w:rsid w:val="002879A4"/>
    <w:rsid w:val="002905D9"/>
    <w:rsid w:val="00291EB7"/>
    <w:rsid w:val="002924D5"/>
    <w:rsid w:val="00293C34"/>
    <w:rsid w:val="00295DF2"/>
    <w:rsid w:val="00295E23"/>
    <w:rsid w:val="0029609F"/>
    <w:rsid w:val="0029654A"/>
    <w:rsid w:val="0029664F"/>
    <w:rsid w:val="00296678"/>
    <w:rsid w:val="0029710A"/>
    <w:rsid w:val="002A04E4"/>
    <w:rsid w:val="002A156A"/>
    <w:rsid w:val="002A1C06"/>
    <w:rsid w:val="002A2024"/>
    <w:rsid w:val="002A21CB"/>
    <w:rsid w:val="002A248D"/>
    <w:rsid w:val="002A2C9B"/>
    <w:rsid w:val="002A3752"/>
    <w:rsid w:val="002A37E3"/>
    <w:rsid w:val="002A4231"/>
    <w:rsid w:val="002A51C6"/>
    <w:rsid w:val="002A534D"/>
    <w:rsid w:val="002A5794"/>
    <w:rsid w:val="002B2B86"/>
    <w:rsid w:val="002B2B8B"/>
    <w:rsid w:val="002B2C41"/>
    <w:rsid w:val="002B388D"/>
    <w:rsid w:val="002B440B"/>
    <w:rsid w:val="002B44A7"/>
    <w:rsid w:val="002B4B1E"/>
    <w:rsid w:val="002B588B"/>
    <w:rsid w:val="002B6211"/>
    <w:rsid w:val="002B62E2"/>
    <w:rsid w:val="002B7809"/>
    <w:rsid w:val="002B795A"/>
    <w:rsid w:val="002C1691"/>
    <w:rsid w:val="002C183C"/>
    <w:rsid w:val="002C1D74"/>
    <w:rsid w:val="002C1F43"/>
    <w:rsid w:val="002C309E"/>
    <w:rsid w:val="002C3856"/>
    <w:rsid w:val="002C4368"/>
    <w:rsid w:val="002C4683"/>
    <w:rsid w:val="002C5E2B"/>
    <w:rsid w:val="002C604A"/>
    <w:rsid w:val="002D0375"/>
    <w:rsid w:val="002D0E07"/>
    <w:rsid w:val="002D2483"/>
    <w:rsid w:val="002D26B5"/>
    <w:rsid w:val="002D2A22"/>
    <w:rsid w:val="002D4937"/>
    <w:rsid w:val="002D4C23"/>
    <w:rsid w:val="002D649B"/>
    <w:rsid w:val="002D67E7"/>
    <w:rsid w:val="002D6A3D"/>
    <w:rsid w:val="002D7124"/>
    <w:rsid w:val="002E16FD"/>
    <w:rsid w:val="002E245A"/>
    <w:rsid w:val="002E3516"/>
    <w:rsid w:val="002E3759"/>
    <w:rsid w:val="002E45B4"/>
    <w:rsid w:val="002E5191"/>
    <w:rsid w:val="002E691F"/>
    <w:rsid w:val="002E6C0C"/>
    <w:rsid w:val="002F0EA9"/>
    <w:rsid w:val="002F1523"/>
    <w:rsid w:val="002F34FA"/>
    <w:rsid w:val="002F3C42"/>
    <w:rsid w:val="002F4770"/>
    <w:rsid w:val="002F4EDB"/>
    <w:rsid w:val="002F6BA7"/>
    <w:rsid w:val="002F6DCE"/>
    <w:rsid w:val="003000F8"/>
    <w:rsid w:val="003006A4"/>
    <w:rsid w:val="00300B5F"/>
    <w:rsid w:val="003012C1"/>
    <w:rsid w:val="0030271A"/>
    <w:rsid w:val="00302AE0"/>
    <w:rsid w:val="003039C2"/>
    <w:rsid w:val="00304827"/>
    <w:rsid w:val="00305F28"/>
    <w:rsid w:val="003060CB"/>
    <w:rsid w:val="00306172"/>
    <w:rsid w:val="00306E26"/>
    <w:rsid w:val="00306E2E"/>
    <w:rsid w:val="00306F77"/>
    <w:rsid w:val="00307420"/>
    <w:rsid w:val="00311C3D"/>
    <w:rsid w:val="00314926"/>
    <w:rsid w:val="00317B9A"/>
    <w:rsid w:val="0032056A"/>
    <w:rsid w:val="00320698"/>
    <w:rsid w:val="003240BA"/>
    <w:rsid w:val="00325AFF"/>
    <w:rsid w:val="00326C84"/>
    <w:rsid w:val="00327462"/>
    <w:rsid w:val="00330BA3"/>
    <w:rsid w:val="00333665"/>
    <w:rsid w:val="00333D5B"/>
    <w:rsid w:val="00335816"/>
    <w:rsid w:val="00341346"/>
    <w:rsid w:val="00341BEE"/>
    <w:rsid w:val="00341C57"/>
    <w:rsid w:val="00343C87"/>
    <w:rsid w:val="003462B8"/>
    <w:rsid w:val="00346920"/>
    <w:rsid w:val="003479F1"/>
    <w:rsid w:val="00350559"/>
    <w:rsid w:val="00350834"/>
    <w:rsid w:val="00350AE7"/>
    <w:rsid w:val="003520FC"/>
    <w:rsid w:val="00353FF0"/>
    <w:rsid w:val="00354687"/>
    <w:rsid w:val="00354927"/>
    <w:rsid w:val="00361205"/>
    <w:rsid w:val="0036131C"/>
    <w:rsid w:val="0036266F"/>
    <w:rsid w:val="003632B8"/>
    <w:rsid w:val="0036359D"/>
    <w:rsid w:val="003637B9"/>
    <w:rsid w:val="00364BE9"/>
    <w:rsid w:val="003656FD"/>
    <w:rsid w:val="00365C39"/>
    <w:rsid w:val="0036707D"/>
    <w:rsid w:val="003707CA"/>
    <w:rsid w:val="00371E8B"/>
    <w:rsid w:val="00372264"/>
    <w:rsid w:val="0037232F"/>
    <w:rsid w:val="00372C23"/>
    <w:rsid w:val="00373254"/>
    <w:rsid w:val="0037524B"/>
    <w:rsid w:val="00377EC4"/>
    <w:rsid w:val="00380E6D"/>
    <w:rsid w:val="00381C97"/>
    <w:rsid w:val="00382847"/>
    <w:rsid w:val="003829A0"/>
    <w:rsid w:val="00382B2D"/>
    <w:rsid w:val="0038357D"/>
    <w:rsid w:val="00385BA4"/>
    <w:rsid w:val="00387FD3"/>
    <w:rsid w:val="00392067"/>
    <w:rsid w:val="00393FE8"/>
    <w:rsid w:val="003942A8"/>
    <w:rsid w:val="00394987"/>
    <w:rsid w:val="00394F7D"/>
    <w:rsid w:val="003969ED"/>
    <w:rsid w:val="003979C6"/>
    <w:rsid w:val="003A01ED"/>
    <w:rsid w:val="003A08E1"/>
    <w:rsid w:val="003A0C37"/>
    <w:rsid w:val="003A1794"/>
    <w:rsid w:val="003A1EE9"/>
    <w:rsid w:val="003A405A"/>
    <w:rsid w:val="003A47B2"/>
    <w:rsid w:val="003A6767"/>
    <w:rsid w:val="003B3D78"/>
    <w:rsid w:val="003B54AF"/>
    <w:rsid w:val="003B58BB"/>
    <w:rsid w:val="003B5EAE"/>
    <w:rsid w:val="003B78FC"/>
    <w:rsid w:val="003B7DD3"/>
    <w:rsid w:val="003C0A80"/>
    <w:rsid w:val="003C0EE3"/>
    <w:rsid w:val="003C0F0C"/>
    <w:rsid w:val="003C4B8E"/>
    <w:rsid w:val="003C5AC9"/>
    <w:rsid w:val="003C5B87"/>
    <w:rsid w:val="003C5BB6"/>
    <w:rsid w:val="003C62A8"/>
    <w:rsid w:val="003D072F"/>
    <w:rsid w:val="003D1F35"/>
    <w:rsid w:val="003D2AF6"/>
    <w:rsid w:val="003D3EA0"/>
    <w:rsid w:val="003D5F6D"/>
    <w:rsid w:val="003D62BC"/>
    <w:rsid w:val="003D7D54"/>
    <w:rsid w:val="003E1876"/>
    <w:rsid w:val="003E18C3"/>
    <w:rsid w:val="003E35DD"/>
    <w:rsid w:val="003E3A15"/>
    <w:rsid w:val="003E3C61"/>
    <w:rsid w:val="003E3E53"/>
    <w:rsid w:val="003E44B6"/>
    <w:rsid w:val="003E52D0"/>
    <w:rsid w:val="003E5D8E"/>
    <w:rsid w:val="003E74FE"/>
    <w:rsid w:val="003E75AE"/>
    <w:rsid w:val="003F0EC3"/>
    <w:rsid w:val="003F1734"/>
    <w:rsid w:val="003F1EE5"/>
    <w:rsid w:val="003F37D7"/>
    <w:rsid w:val="003F3DC0"/>
    <w:rsid w:val="003F438A"/>
    <w:rsid w:val="003F4832"/>
    <w:rsid w:val="003F532D"/>
    <w:rsid w:val="003F6B4B"/>
    <w:rsid w:val="003F7411"/>
    <w:rsid w:val="003F7975"/>
    <w:rsid w:val="0040197A"/>
    <w:rsid w:val="00401ED0"/>
    <w:rsid w:val="0040235A"/>
    <w:rsid w:val="00404858"/>
    <w:rsid w:val="004057EA"/>
    <w:rsid w:val="00406A6E"/>
    <w:rsid w:val="00407AD0"/>
    <w:rsid w:val="00410B37"/>
    <w:rsid w:val="00410E70"/>
    <w:rsid w:val="00411585"/>
    <w:rsid w:val="00411696"/>
    <w:rsid w:val="00411BEA"/>
    <w:rsid w:val="004124B2"/>
    <w:rsid w:val="00412F4A"/>
    <w:rsid w:val="0041350E"/>
    <w:rsid w:val="00414B85"/>
    <w:rsid w:val="004152A1"/>
    <w:rsid w:val="00415BA8"/>
    <w:rsid w:val="00415CA8"/>
    <w:rsid w:val="00420B87"/>
    <w:rsid w:val="004217D6"/>
    <w:rsid w:val="00422763"/>
    <w:rsid w:val="0042361A"/>
    <w:rsid w:val="00423902"/>
    <w:rsid w:val="00423A5F"/>
    <w:rsid w:val="004247B7"/>
    <w:rsid w:val="00426813"/>
    <w:rsid w:val="00426BB1"/>
    <w:rsid w:val="00431DB6"/>
    <w:rsid w:val="00431E78"/>
    <w:rsid w:val="004335C0"/>
    <w:rsid w:val="004365FA"/>
    <w:rsid w:val="00436998"/>
    <w:rsid w:val="00437111"/>
    <w:rsid w:val="00437AB5"/>
    <w:rsid w:val="00440727"/>
    <w:rsid w:val="00441A52"/>
    <w:rsid w:val="00441A6C"/>
    <w:rsid w:val="0044476C"/>
    <w:rsid w:val="004455B3"/>
    <w:rsid w:val="0044724A"/>
    <w:rsid w:val="004479CB"/>
    <w:rsid w:val="00450B61"/>
    <w:rsid w:val="0045156C"/>
    <w:rsid w:val="00451663"/>
    <w:rsid w:val="004546B3"/>
    <w:rsid w:val="00455A18"/>
    <w:rsid w:val="00455C92"/>
    <w:rsid w:val="004560AC"/>
    <w:rsid w:val="00460758"/>
    <w:rsid w:val="00460839"/>
    <w:rsid w:val="00461438"/>
    <w:rsid w:val="0046160E"/>
    <w:rsid w:val="004622C4"/>
    <w:rsid w:val="0046285F"/>
    <w:rsid w:val="00462C9A"/>
    <w:rsid w:val="004646A3"/>
    <w:rsid w:val="0046582D"/>
    <w:rsid w:val="00465FB1"/>
    <w:rsid w:val="004672EE"/>
    <w:rsid w:val="0047032C"/>
    <w:rsid w:val="00473604"/>
    <w:rsid w:val="00473EE6"/>
    <w:rsid w:val="00474044"/>
    <w:rsid w:val="004744DB"/>
    <w:rsid w:val="004755AE"/>
    <w:rsid w:val="004755F7"/>
    <w:rsid w:val="004756F4"/>
    <w:rsid w:val="00475A1E"/>
    <w:rsid w:val="00475C1D"/>
    <w:rsid w:val="00475D40"/>
    <w:rsid w:val="00477567"/>
    <w:rsid w:val="00480DA3"/>
    <w:rsid w:val="004823A1"/>
    <w:rsid w:val="00483931"/>
    <w:rsid w:val="00484E36"/>
    <w:rsid w:val="00487EC4"/>
    <w:rsid w:val="004939D3"/>
    <w:rsid w:val="00493C54"/>
    <w:rsid w:val="0049482B"/>
    <w:rsid w:val="00494D71"/>
    <w:rsid w:val="004962FC"/>
    <w:rsid w:val="0049638F"/>
    <w:rsid w:val="00496986"/>
    <w:rsid w:val="00497183"/>
    <w:rsid w:val="004A0918"/>
    <w:rsid w:val="004A0FFA"/>
    <w:rsid w:val="004A3B15"/>
    <w:rsid w:val="004A3C54"/>
    <w:rsid w:val="004A3EE0"/>
    <w:rsid w:val="004A5AA1"/>
    <w:rsid w:val="004A75E4"/>
    <w:rsid w:val="004A7971"/>
    <w:rsid w:val="004B0474"/>
    <w:rsid w:val="004B1073"/>
    <w:rsid w:val="004B1FFF"/>
    <w:rsid w:val="004B347A"/>
    <w:rsid w:val="004B4201"/>
    <w:rsid w:val="004B481F"/>
    <w:rsid w:val="004B67B2"/>
    <w:rsid w:val="004C0072"/>
    <w:rsid w:val="004C08A5"/>
    <w:rsid w:val="004C0AD5"/>
    <w:rsid w:val="004C1377"/>
    <w:rsid w:val="004C1B17"/>
    <w:rsid w:val="004C2304"/>
    <w:rsid w:val="004C2A23"/>
    <w:rsid w:val="004C2B6C"/>
    <w:rsid w:val="004C2BEC"/>
    <w:rsid w:val="004C307C"/>
    <w:rsid w:val="004C407E"/>
    <w:rsid w:val="004C426F"/>
    <w:rsid w:val="004C5075"/>
    <w:rsid w:val="004C5883"/>
    <w:rsid w:val="004D2890"/>
    <w:rsid w:val="004D2CCF"/>
    <w:rsid w:val="004D2D58"/>
    <w:rsid w:val="004D365A"/>
    <w:rsid w:val="004D463C"/>
    <w:rsid w:val="004D7C97"/>
    <w:rsid w:val="004E075C"/>
    <w:rsid w:val="004E1C72"/>
    <w:rsid w:val="004E1E4A"/>
    <w:rsid w:val="004E2C9F"/>
    <w:rsid w:val="004E3E4F"/>
    <w:rsid w:val="004E4555"/>
    <w:rsid w:val="004E4D87"/>
    <w:rsid w:val="004E612E"/>
    <w:rsid w:val="004E6ABC"/>
    <w:rsid w:val="004E6C75"/>
    <w:rsid w:val="004E73C0"/>
    <w:rsid w:val="004E7CFD"/>
    <w:rsid w:val="004F185B"/>
    <w:rsid w:val="004F2020"/>
    <w:rsid w:val="004F23C8"/>
    <w:rsid w:val="004F294C"/>
    <w:rsid w:val="004F4CDF"/>
    <w:rsid w:val="004F617B"/>
    <w:rsid w:val="004F6DCF"/>
    <w:rsid w:val="004F749E"/>
    <w:rsid w:val="004F7669"/>
    <w:rsid w:val="00501133"/>
    <w:rsid w:val="00501429"/>
    <w:rsid w:val="00503200"/>
    <w:rsid w:val="00503E30"/>
    <w:rsid w:val="0050421A"/>
    <w:rsid w:val="00505893"/>
    <w:rsid w:val="005058E0"/>
    <w:rsid w:val="00505ED0"/>
    <w:rsid w:val="005136AC"/>
    <w:rsid w:val="00514C0A"/>
    <w:rsid w:val="00515777"/>
    <w:rsid w:val="00515F75"/>
    <w:rsid w:val="00517E82"/>
    <w:rsid w:val="00520829"/>
    <w:rsid w:val="00520AA5"/>
    <w:rsid w:val="00521118"/>
    <w:rsid w:val="005214A2"/>
    <w:rsid w:val="00522778"/>
    <w:rsid w:val="00522A14"/>
    <w:rsid w:val="00524170"/>
    <w:rsid w:val="005263C4"/>
    <w:rsid w:val="005265FF"/>
    <w:rsid w:val="00526F99"/>
    <w:rsid w:val="00527657"/>
    <w:rsid w:val="00530903"/>
    <w:rsid w:val="005319F7"/>
    <w:rsid w:val="00531AE8"/>
    <w:rsid w:val="00531EC4"/>
    <w:rsid w:val="00532A85"/>
    <w:rsid w:val="0053361D"/>
    <w:rsid w:val="005336DA"/>
    <w:rsid w:val="00535062"/>
    <w:rsid w:val="0053530D"/>
    <w:rsid w:val="0053720C"/>
    <w:rsid w:val="00537CB8"/>
    <w:rsid w:val="00542141"/>
    <w:rsid w:val="005434A6"/>
    <w:rsid w:val="00544CC6"/>
    <w:rsid w:val="0054542F"/>
    <w:rsid w:val="005471A0"/>
    <w:rsid w:val="00550C5C"/>
    <w:rsid w:val="00552C69"/>
    <w:rsid w:val="00554759"/>
    <w:rsid w:val="00555017"/>
    <w:rsid w:val="00555163"/>
    <w:rsid w:val="00555575"/>
    <w:rsid w:val="005570BA"/>
    <w:rsid w:val="005600A5"/>
    <w:rsid w:val="0056054B"/>
    <w:rsid w:val="00561665"/>
    <w:rsid w:val="0056294E"/>
    <w:rsid w:val="00565210"/>
    <w:rsid w:val="00565A04"/>
    <w:rsid w:val="00567528"/>
    <w:rsid w:val="005710BC"/>
    <w:rsid w:val="00576B53"/>
    <w:rsid w:val="005770BB"/>
    <w:rsid w:val="005849DB"/>
    <w:rsid w:val="00586B31"/>
    <w:rsid w:val="00587292"/>
    <w:rsid w:val="005929B4"/>
    <w:rsid w:val="00595F93"/>
    <w:rsid w:val="005A01AE"/>
    <w:rsid w:val="005A0DC9"/>
    <w:rsid w:val="005A1DB5"/>
    <w:rsid w:val="005A37B1"/>
    <w:rsid w:val="005A4D96"/>
    <w:rsid w:val="005A6D77"/>
    <w:rsid w:val="005A7093"/>
    <w:rsid w:val="005A7C46"/>
    <w:rsid w:val="005B017B"/>
    <w:rsid w:val="005B092F"/>
    <w:rsid w:val="005B1194"/>
    <w:rsid w:val="005B1AE9"/>
    <w:rsid w:val="005B2D7B"/>
    <w:rsid w:val="005B4F7B"/>
    <w:rsid w:val="005B5A3C"/>
    <w:rsid w:val="005B703E"/>
    <w:rsid w:val="005B7AA4"/>
    <w:rsid w:val="005C0A7D"/>
    <w:rsid w:val="005C1012"/>
    <w:rsid w:val="005C1440"/>
    <w:rsid w:val="005C1C44"/>
    <w:rsid w:val="005C284E"/>
    <w:rsid w:val="005C3123"/>
    <w:rsid w:val="005C3A71"/>
    <w:rsid w:val="005C4290"/>
    <w:rsid w:val="005C4903"/>
    <w:rsid w:val="005C4BBB"/>
    <w:rsid w:val="005C554C"/>
    <w:rsid w:val="005C7B69"/>
    <w:rsid w:val="005D00AB"/>
    <w:rsid w:val="005D28B0"/>
    <w:rsid w:val="005D3D84"/>
    <w:rsid w:val="005D4AE0"/>
    <w:rsid w:val="005D55D8"/>
    <w:rsid w:val="005D6099"/>
    <w:rsid w:val="005D6706"/>
    <w:rsid w:val="005D6852"/>
    <w:rsid w:val="005E0029"/>
    <w:rsid w:val="005E041E"/>
    <w:rsid w:val="005E1967"/>
    <w:rsid w:val="005E1BA0"/>
    <w:rsid w:val="005E250E"/>
    <w:rsid w:val="005F0174"/>
    <w:rsid w:val="005F2993"/>
    <w:rsid w:val="005F2FD7"/>
    <w:rsid w:val="005F37A4"/>
    <w:rsid w:val="005F3894"/>
    <w:rsid w:val="005F3F3D"/>
    <w:rsid w:val="005F4691"/>
    <w:rsid w:val="005F59C0"/>
    <w:rsid w:val="005F6324"/>
    <w:rsid w:val="005F746E"/>
    <w:rsid w:val="005F7596"/>
    <w:rsid w:val="006019C3"/>
    <w:rsid w:val="00601C9D"/>
    <w:rsid w:val="00602A36"/>
    <w:rsid w:val="006032DD"/>
    <w:rsid w:val="006046F3"/>
    <w:rsid w:val="00605A6F"/>
    <w:rsid w:val="00606051"/>
    <w:rsid w:val="00606709"/>
    <w:rsid w:val="00612313"/>
    <w:rsid w:val="00613747"/>
    <w:rsid w:val="00613BDE"/>
    <w:rsid w:val="00614EDD"/>
    <w:rsid w:val="006153ED"/>
    <w:rsid w:val="00615475"/>
    <w:rsid w:val="00616C81"/>
    <w:rsid w:val="00620E0F"/>
    <w:rsid w:val="00622158"/>
    <w:rsid w:val="00622D9B"/>
    <w:rsid w:val="006236B4"/>
    <w:rsid w:val="00623787"/>
    <w:rsid w:val="006244E0"/>
    <w:rsid w:val="0062468A"/>
    <w:rsid w:val="00626C88"/>
    <w:rsid w:val="00626D13"/>
    <w:rsid w:val="00627B15"/>
    <w:rsid w:val="00630D5D"/>
    <w:rsid w:val="00631E9A"/>
    <w:rsid w:val="00631F22"/>
    <w:rsid w:val="00633492"/>
    <w:rsid w:val="00633D13"/>
    <w:rsid w:val="00634924"/>
    <w:rsid w:val="00635C52"/>
    <w:rsid w:val="00636295"/>
    <w:rsid w:val="00640FAA"/>
    <w:rsid w:val="00641CEE"/>
    <w:rsid w:val="00642B29"/>
    <w:rsid w:val="00642DA5"/>
    <w:rsid w:val="00642E1E"/>
    <w:rsid w:val="00642FB5"/>
    <w:rsid w:val="0064338C"/>
    <w:rsid w:val="00643467"/>
    <w:rsid w:val="00643592"/>
    <w:rsid w:val="0064438F"/>
    <w:rsid w:val="00646035"/>
    <w:rsid w:val="006461C9"/>
    <w:rsid w:val="00646F24"/>
    <w:rsid w:val="00650DF3"/>
    <w:rsid w:val="00652400"/>
    <w:rsid w:val="0065267C"/>
    <w:rsid w:val="00653A00"/>
    <w:rsid w:val="0066061A"/>
    <w:rsid w:val="006607A6"/>
    <w:rsid w:val="006612B3"/>
    <w:rsid w:val="00661448"/>
    <w:rsid w:val="0066282D"/>
    <w:rsid w:val="00663DCC"/>
    <w:rsid w:val="00664F21"/>
    <w:rsid w:val="006650B1"/>
    <w:rsid w:val="006654E2"/>
    <w:rsid w:val="006679F2"/>
    <w:rsid w:val="00667AC0"/>
    <w:rsid w:val="006711E6"/>
    <w:rsid w:val="006714D3"/>
    <w:rsid w:val="006718C6"/>
    <w:rsid w:val="00671C86"/>
    <w:rsid w:val="006725E8"/>
    <w:rsid w:val="00672A75"/>
    <w:rsid w:val="006733C9"/>
    <w:rsid w:val="00674788"/>
    <w:rsid w:val="00677BD2"/>
    <w:rsid w:val="00677E15"/>
    <w:rsid w:val="00681398"/>
    <w:rsid w:val="00682700"/>
    <w:rsid w:val="006855DB"/>
    <w:rsid w:val="0068585D"/>
    <w:rsid w:val="00686B5D"/>
    <w:rsid w:val="006906FD"/>
    <w:rsid w:val="00691509"/>
    <w:rsid w:val="00691B55"/>
    <w:rsid w:val="006922D7"/>
    <w:rsid w:val="00692810"/>
    <w:rsid w:val="00692AC0"/>
    <w:rsid w:val="006933EE"/>
    <w:rsid w:val="00694C20"/>
    <w:rsid w:val="0069599C"/>
    <w:rsid w:val="00695A9C"/>
    <w:rsid w:val="00696848"/>
    <w:rsid w:val="006A14CE"/>
    <w:rsid w:val="006A3E5A"/>
    <w:rsid w:val="006A4575"/>
    <w:rsid w:val="006A470F"/>
    <w:rsid w:val="006A4BBA"/>
    <w:rsid w:val="006A4ECC"/>
    <w:rsid w:val="006A52C3"/>
    <w:rsid w:val="006A591A"/>
    <w:rsid w:val="006A6C27"/>
    <w:rsid w:val="006A6D16"/>
    <w:rsid w:val="006A6D3B"/>
    <w:rsid w:val="006B160E"/>
    <w:rsid w:val="006B31A3"/>
    <w:rsid w:val="006B3DF3"/>
    <w:rsid w:val="006B4374"/>
    <w:rsid w:val="006B4B49"/>
    <w:rsid w:val="006B4BB9"/>
    <w:rsid w:val="006B53BB"/>
    <w:rsid w:val="006B699C"/>
    <w:rsid w:val="006B6C70"/>
    <w:rsid w:val="006B770E"/>
    <w:rsid w:val="006B7A2D"/>
    <w:rsid w:val="006C0FCF"/>
    <w:rsid w:val="006C11CB"/>
    <w:rsid w:val="006C2E9D"/>
    <w:rsid w:val="006C3228"/>
    <w:rsid w:val="006C4474"/>
    <w:rsid w:val="006C50EE"/>
    <w:rsid w:val="006C54FA"/>
    <w:rsid w:val="006C5E60"/>
    <w:rsid w:val="006C5F4C"/>
    <w:rsid w:val="006C5FFC"/>
    <w:rsid w:val="006C6A03"/>
    <w:rsid w:val="006D00A4"/>
    <w:rsid w:val="006D0CB8"/>
    <w:rsid w:val="006D16E2"/>
    <w:rsid w:val="006D1EE1"/>
    <w:rsid w:val="006D2661"/>
    <w:rsid w:val="006D2ED7"/>
    <w:rsid w:val="006D3976"/>
    <w:rsid w:val="006D534E"/>
    <w:rsid w:val="006D70C1"/>
    <w:rsid w:val="006D71AA"/>
    <w:rsid w:val="006E1EEC"/>
    <w:rsid w:val="006E3072"/>
    <w:rsid w:val="006E44A1"/>
    <w:rsid w:val="006E4BF5"/>
    <w:rsid w:val="006E4FA4"/>
    <w:rsid w:val="006E5499"/>
    <w:rsid w:val="006E5D09"/>
    <w:rsid w:val="006E5D2B"/>
    <w:rsid w:val="006E6377"/>
    <w:rsid w:val="006E73BF"/>
    <w:rsid w:val="006F021E"/>
    <w:rsid w:val="006F1820"/>
    <w:rsid w:val="006F25B2"/>
    <w:rsid w:val="006F2E86"/>
    <w:rsid w:val="006F483D"/>
    <w:rsid w:val="006F6017"/>
    <w:rsid w:val="00700164"/>
    <w:rsid w:val="00701D9F"/>
    <w:rsid w:val="00702C4F"/>
    <w:rsid w:val="00706EF1"/>
    <w:rsid w:val="007071EF"/>
    <w:rsid w:val="00710140"/>
    <w:rsid w:val="007110C3"/>
    <w:rsid w:val="00711204"/>
    <w:rsid w:val="0071146A"/>
    <w:rsid w:val="00711C9B"/>
    <w:rsid w:val="00711D7D"/>
    <w:rsid w:val="007124F0"/>
    <w:rsid w:val="007129EC"/>
    <w:rsid w:val="007135F3"/>
    <w:rsid w:val="00714952"/>
    <w:rsid w:val="00715ED1"/>
    <w:rsid w:val="007164D9"/>
    <w:rsid w:val="00716FF6"/>
    <w:rsid w:val="007174F1"/>
    <w:rsid w:val="007209C1"/>
    <w:rsid w:val="00720A59"/>
    <w:rsid w:val="0072221C"/>
    <w:rsid w:val="007236DE"/>
    <w:rsid w:val="00723E0A"/>
    <w:rsid w:val="00726964"/>
    <w:rsid w:val="00727924"/>
    <w:rsid w:val="00730223"/>
    <w:rsid w:val="007309F7"/>
    <w:rsid w:val="00730F22"/>
    <w:rsid w:val="00731692"/>
    <w:rsid w:val="00733312"/>
    <w:rsid w:val="007344A6"/>
    <w:rsid w:val="0073481D"/>
    <w:rsid w:val="00734FF6"/>
    <w:rsid w:val="00735200"/>
    <w:rsid w:val="0073576C"/>
    <w:rsid w:val="0073658A"/>
    <w:rsid w:val="007376B7"/>
    <w:rsid w:val="00737DD3"/>
    <w:rsid w:val="00737DEE"/>
    <w:rsid w:val="00740007"/>
    <w:rsid w:val="00740584"/>
    <w:rsid w:val="00740BAC"/>
    <w:rsid w:val="00740CDE"/>
    <w:rsid w:val="00740DE7"/>
    <w:rsid w:val="007414ED"/>
    <w:rsid w:val="0074244B"/>
    <w:rsid w:val="00742A65"/>
    <w:rsid w:val="00743ACF"/>
    <w:rsid w:val="0074448F"/>
    <w:rsid w:val="00745B0F"/>
    <w:rsid w:val="00747295"/>
    <w:rsid w:val="007504A0"/>
    <w:rsid w:val="0075123F"/>
    <w:rsid w:val="007512AA"/>
    <w:rsid w:val="007514B3"/>
    <w:rsid w:val="00751769"/>
    <w:rsid w:val="007525E1"/>
    <w:rsid w:val="00752FCF"/>
    <w:rsid w:val="00753C8B"/>
    <w:rsid w:val="007564A0"/>
    <w:rsid w:val="007609BC"/>
    <w:rsid w:val="00762F45"/>
    <w:rsid w:val="0076350F"/>
    <w:rsid w:val="00764ED2"/>
    <w:rsid w:val="00764FF4"/>
    <w:rsid w:val="007665B0"/>
    <w:rsid w:val="00766611"/>
    <w:rsid w:val="00766B6C"/>
    <w:rsid w:val="00767014"/>
    <w:rsid w:val="00767F8B"/>
    <w:rsid w:val="00770108"/>
    <w:rsid w:val="00770333"/>
    <w:rsid w:val="00770A9F"/>
    <w:rsid w:val="00771B04"/>
    <w:rsid w:val="007741A2"/>
    <w:rsid w:val="007743BB"/>
    <w:rsid w:val="007749F1"/>
    <w:rsid w:val="0077624C"/>
    <w:rsid w:val="007777E2"/>
    <w:rsid w:val="00777CBF"/>
    <w:rsid w:val="00777D9B"/>
    <w:rsid w:val="00780577"/>
    <w:rsid w:val="00782C7D"/>
    <w:rsid w:val="007830C8"/>
    <w:rsid w:val="00783FB0"/>
    <w:rsid w:val="00784432"/>
    <w:rsid w:val="007849C7"/>
    <w:rsid w:val="00786101"/>
    <w:rsid w:val="00786547"/>
    <w:rsid w:val="007879D6"/>
    <w:rsid w:val="00787FB0"/>
    <w:rsid w:val="0079098F"/>
    <w:rsid w:val="00790B09"/>
    <w:rsid w:val="00790E07"/>
    <w:rsid w:val="00791842"/>
    <w:rsid w:val="007920E6"/>
    <w:rsid w:val="00792C51"/>
    <w:rsid w:val="00792CCC"/>
    <w:rsid w:val="00793A3A"/>
    <w:rsid w:val="0079401B"/>
    <w:rsid w:val="00794404"/>
    <w:rsid w:val="0079478B"/>
    <w:rsid w:val="0079482F"/>
    <w:rsid w:val="00795C32"/>
    <w:rsid w:val="00796211"/>
    <w:rsid w:val="00796E88"/>
    <w:rsid w:val="00797830"/>
    <w:rsid w:val="00797D2C"/>
    <w:rsid w:val="007A13F6"/>
    <w:rsid w:val="007A187E"/>
    <w:rsid w:val="007A1AA9"/>
    <w:rsid w:val="007A299D"/>
    <w:rsid w:val="007A2C86"/>
    <w:rsid w:val="007A35DA"/>
    <w:rsid w:val="007A39AE"/>
    <w:rsid w:val="007A40FD"/>
    <w:rsid w:val="007A421E"/>
    <w:rsid w:val="007A469B"/>
    <w:rsid w:val="007A4786"/>
    <w:rsid w:val="007A5415"/>
    <w:rsid w:val="007A5B34"/>
    <w:rsid w:val="007A5F94"/>
    <w:rsid w:val="007A615C"/>
    <w:rsid w:val="007A62A2"/>
    <w:rsid w:val="007B00CC"/>
    <w:rsid w:val="007B07AC"/>
    <w:rsid w:val="007B1999"/>
    <w:rsid w:val="007B1D2C"/>
    <w:rsid w:val="007B3C1A"/>
    <w:rsid w:val="007B47C4"/>
    <w:rsid w:val="007B5070"/>
    <w:rsid w:val="007B667C"/>
    <w:rsid w:val="007B69B1"/>
    <w:rsid w:val="007B77E3"/>
    <w:rsid w:val="007B7E1B"/>
    <w:rsid w:val="007C1794"/>
    <w:rsid w:val="007C1CB4"/>
    <w:rsid w:val="007C1FDD"/>
    <w:rsid w:val="007C25D7"/>
    <w:rsid w:val="007C434F"/>
    <w:rsid w:val="007C5383"/>
    <w:rsid w:val="007C75B3"/>
    <w:rsid w:val="007D1094"/>
    <w:rsid w:val="007D1993"/>
    <w:rsid w:val="007D2C9B"/>
    <w:rsid w:val="007D33FE"/>
    <w:rsid w:val="007D3AB6"/>
    <w:rsid w:val="007D3B7B"/>
    <w:rsid w:val="007D42FD"/>
    <w:rsid w:val="007D44A7"/>
    <w:rsid w:val="007D4D1D"/>
    <w:rsid w:val="007D5BB7"/>
    <w:rsid w:val="007D73B8"/>
    <w:rsid w:val="007E07D7"/>
    <w:rsid w:val="007E0EBD"/>
    <w:rsid w:val="007E1776"/>
    <w:rsid w:val="007E1BDE"/>
    <w:rsid w:val="007E299D"/>
    <w:rsid w:val="007E2ACF"/>
    <w:rsid w:val="007E416E"/>
    <w:rsid w:val="007E4263"/>
    <w:rsid w:val="007E460A"/>
    <w:rsid w:val="007E4F26"/>
    <w:rsid w:val="007E68A0"/>
    <w:rsid w:val="007E6D06"/>
    <w:rsid w:val="007F0ECD"/>
    <w:rsid w:val="007F1B8F"/>
    <w:rsid w:val="007F2A38"/>
    <w:rsid w:val="007F5625"/>
    <w:rsid w:val="007F599C"/>
    <w:rsid w:val="00800487"/>
    <w:rsid w:val="00800A2F"/>
    <w:rsid w:val="0080169D"/>
    <w:rsid w:val="00803997"/>
    <w:rsid w:val="0080433F"/>
    <w:rsid w:val="0080608F"/>
    <w:rsid w:val="008076DD"/>
    <w:rsid w:val="0081059D"/>
    <w:rsid w:val="00812534"/>
    <w:rsid w:val="00812D33"/>
    <w:rsid w:val="00813CEF"/>
    <w:rsid w:val="00813F38"/>
    <w:rsid w:val="00814A7E"/>
    <w:rsid w:val="00814C59"/>
    <w:rsid w:val="00815F20"/>
    <w:rsid w:val="008208C6"/>
    <w:rsid w:val="00822DAD"/>
    <w:rsid w:val="00824B4B"/>
    <w:rsid w:val="008251A3"/>
    <w:rsid w:val="0083200C"/>
    <w:rsid w:val="00833BC1"/>
    <w:rsid w:val="00834D1B"/>
    <w:rsid w:val="00835A86"/>
    <w:rsid w:val="00836735"/>
    <w:rsid w:val="00840078"/>
    <w:rsid w:val="00841445"/>
    <w:rsid w:val="0084163F"/>
    <w:rsid w:val="00842CE8"/>
    <w:rsid w:val="00843DFE"/>
    <w:rsid w:val="0084432B"/>
    <w:rsid w:val="0084452F"/>
    <w:rsid w:val="0084482F"/>
    <w:rsid w:val="008448EA"/>
    <w:rsid w:val="008450E5"/>
    <w:rsid w:val="00846D3C"/>
    <w:rsid w:val="00850B97"/>
    <w:rsid w:val="00850F58"/>
    <w:rsid w:val="008511AB"/>
    <w:rsid w:val="00851382"/>
    <w:rsid w:val="00851D08"/>
    <w:rsid w:val="0085203D"/>
    <w:rsid w:val="008524A1"/>
    <w:rsid w:val="0085324C"/>
    <w:rsid w:val="00853B38"/>
    <w:rsid w:val="00854754"/>
    <w:rsid w:val="00854B87"/>
    <w:rsid w:val="00855C5B"/>
    <w:rsid w:val="00856049"/>
    <w:rsid w:val="00860269"/>
    <w:rsid w:val="00860828"/>
    <w:rsid w:val="0086092B"/>
    <w:rsid w:val="00861692"/>
    <w:rsid w:val="008617C7"/>
    <w:rsid w:val="00861849"/>
    <w:rsid w:val="0086187C"/>
    <w:rsid w:val="00862B5E"/>
    <w:rsid w:val="00863CC2"/>
    <w:rsid w:val="00864E15"/>
    <w:rsid w:val="00865022"/>
    <w:rsid w:val="00865169"/>
    <w:rsid w:val="0086562A"/>
    <w:rsid w:val="00866D6A"/>
    <w:rsid w:val="008707D5"/>
    <w:rsid w:val="008720EF"/>
    <w:rsid w:val="008736B6"/>
    <w:rsid w:val="008746C9"/>
    <w:rsid w:val="00874DF2"/>
    <w:rsid w:val="0087529C"/>
    <w:rsid w:val="00875EE4"/>
    <w:rsid w:val="00876A3C"/>
    <w:rsid w:val="00877315"/>
    <w:rsid w:val="00877A24"/>
    <w:rsid w:val="00877B26"/>
    <w:rsid w:val="00880271"/>
    <w:rsid w:val="0088144D"/>
    <w:rsid w:val="00881EF6"/>
    <w:rsid w:val="00883315"/>
    <w:rsid w:val="00886947"/>
    <w:rsid w:val="00886D41"/>
    <w:rsid w:val="0088771A"/>
    <w:rsid w:val="00887726"/>
    <w:rsid w:val="00891ADF"/>
    <w:rsid w:val="008932E6"/>
    <w:rsid w:val="00893D7D"/>
    <w:rsid w:val="00893E3C"/>
    <w:rsid w:val="008969B9"/>
    <w:rsid w:val="00896F79"/>
    <w:rsid w:val="008970B2"/>
    <w:rsid w:val="00897E8D"/>
    <w:rsid w:val="008A01F2"/>
    <w:rsid w:val="008A1933"/>
    <w:rsid w:val="008A4757"/>
    <w:rsid w:val="008A59E2"/>
    <w:rsid w:val="008A61FB"/>
    <w:rsid w:val="008A6808"/>
    <w:rsid w:val="008A6F86"/>
    <w:rsid w:val="008A6F88"/>
    <w:rsid w:val="008A7C7E"/>
    <w:rsid w:val="008B04D9"/>
    <w:rsid w:val="008B15BD"/>
    <w:rsid w:val="008B1627"/>
    <w:rsid w:val="008B1F63"/>
    <w:rsid w:val="008B28F1"/>
    <w:rsid w:val="008B2E64"/>
    <w:rsid w:val="008B51CA"/>
    <w:rsid w:val="008B53D5"/>
    <w:rsid w:val="008B567B"/>
    <w:rsid w:val="008B5F74"/>
    <w:rsid w:val="008B6796"/>
    <w:rsid w:val="008B79BE"/>
    <w:rsid w:val="008B7A59"/>
    <w:rsid w:val="008B7DF1"/>
    <w:rsid w:val="008B7FCC"/>
    <w:rsid w:val="008C03CD"/>
    <w:rsid w:val="008C0696"/>
    <w:rsid w:val="008C0D96"/>
    <w:rsid w:val="008C19F8"/>
    <w:rsid w:val="008C2745"/>
    <w:rsid w:val="008C2778"/>
    <w:rsid w:val="008C2F7E"/>
    <w:rsid w:val="008C3CB2"/>
    <w:rsid w:val="008C43E6"/>
    <w:rsid w:val="008C591A"/>
    <w:rsid w:val="008C637F"/>
    <w:rsid w:val="008C6E1C"/>
    <w:rsid w:val="008C75A9"/>
    <w:rsid w:val="008C76B3"/>
    <w:rsid w:val="008C7BD1"/>
    <w:rsid w:val="008D14D7"/>
    <w:rsid w:val="008D19C1"/>
    <w:rsid w:val="008D572D"/>
    <w:rsid w:val="008D5831"/>
    <w:rsid w:val="008D724A"/>
    <w:rsid w:val="008D7E10"/>
    <w:rsid w:val="008E028E"/>
    <w:rsid w:val="008E045B"/>
    <w:rsid w:val="008E346E"/>
    <w:rsid w:val="008E399F"/>
    <w:rsid w:val="008E5F08"/>
    <w:rsid w:val="008F0323"/>
    <w:rsid w:val="008F06C0"/>
    <w:rsid w:val="008F1C64"/>
    <w:rsid w:val="008F2DA4"/>
    <w:rsid w:val="008F3413"/>
    <w:rsid w:val="008F4684"/>
    <w:rsid w:val="008F503B"/>
    <w:rsid w:val="008F50F7"/>
    <w:rsid w:val="008F5402"/>
    <w:rsid w:val="008F585F"/>
    <w:rsid w:val="008F5D94"/>
    <w:rsid w:val="008F6B03"/>
    <w:rsid w:val="008F7815"/>
    <w:rsid w:val="008F7823"/>
    <w:rsid w:val="00900368"/>
    <w:rsid w:val="009012E9"/>
    <w:rsid w:val="0090268A"/>
    <w:rsid w:val="00903A27"/>
    <w:rsid w:val="00903F99"/>
    <w:rsid w:val="0090411D"/>
    <w:rsid w:val="00905A4D"/>
    <w:rsid w:val="00906C95"/>
    <w:rsid w:val="009075BA"/>
    <w:rsid w:val="00907F3B"/>
    <w:rsid w:val="00907FF9"/>
    <w:rsid w:val="0091054E"/>
    <w:rsid w:val="0091076A"/>
    <w:rsid w:val="00911135"/>
    <w:rsid w:val="00912828"/>
    <w:rsid w:val="00912D7E"/>
    <w:rsid w:val="0091446D"/>
    <w:rsid w:val="00914759"/>
    <w:rsid w:val="00915212"/>
    <w:rsid w:val="009158EF"/>
    <w:rsid w:val="00915F89"/>
    <w:rsid w:val="009169A1"/>
    <w:rsid w:val="00917443"/>
    <w:rsid w:val="0091765A"/>
    <w:rsid w:val="00917811"/>
    <w:rsid w:val="009229CB"/>
    <w:rsid w:val="00923094"/>
    <w:rsid w:val="009233E9"/>
    <w:rsid w:val="00923503"/>
    <w:rsid w:val="00924777"/>
    <w:rsid w:val="00924AFD"/>
    <w:rsid w:val="00925B0E"/>
    <w:rsid w:val="00927D0E"/>
    <w:rsid w:val="00930473"/>
    <w:rsid w:val="00930589"/>
    <w:rsid w:val="0093098A"/>
    <w:rsid w:val="009332C6"/>
    <w:rsid w:val="00933F31"/>
    <w:rsid w:val="00934774"/>
    <w:rsid w:val="00935F26"/>
    <w:rsid w:val="0093722D"/>
    <w:rsid w:val="00937427"/>
    <w:rsid w:val="0093781D"/>
    <w:rsid w:val="00937B78"/>
    <w:rsid w:val="00940CE1"/>
    <w:rsid w:val="009416F7"/>
    <w:rsid w:val="009423B4"/>
    <w:rsid w:val="009427C6"/>
    <w:rsid w:val="009441A4"/>
    <w:rsid w:val="0094444C"/>
    <w:rsid w:val="0094550F"/>
    <w:rsid w:val="00945533"/>
    <w:rsid w:val="009468C6"/>
    <w:rsid w:val="00950524"/>
    <w:rsid w:val="00950D55"/>
    <w:rsid w:val="0095233A"/>
    <w:rsid w:val="0095263E"/>
    <w:rsid w:val="0095338A"/>
    <w:rsid w:val="00954999"/>
    <w:rsid w:val="00954C43"/>
    <w:rsid w:val="009551EF"/>
    <w:rsid w:val="00955C1D"/>
    <w:rsid w:val="00956DC1"/>
    <w:rsid w:val="00957371"/>
    <w:rsid w:val="009578F6"/>
    <w:rsid w:val="00957B36"/>
    <w:rsid w:val="009618E4"/>
    <w:rsid w:val="00962DA3"/>
    <w:rsid w:val="00963596"/>
    <w:rsid w:val="00964AD8"/>
    <w:rsid w:val="0096582E"/>
    <w:rsid w:val="00965DBE"/>
    <w:rsid w:val="00967196"/>
    <w:rsid w:val="00967D6A"/>
    <w:rsid w:val="009703E3"/>
    <w:rsid w:val="009737A2"/>
    <w:rsid w:val="009738FC"/>
    <w:rsid w:val="009743AE"/>
    <w:rsid w:val="009769CB"/>
    <w:rsid w:val="009774A4"/>
    <w:rsid w:val="00977B40"/>
    <w:rsid w:val="00980B1B"/>
    <w:rsid w:val="009816B8"/>
    <w:rsid w:val="009817D4"/>
    <w:rsid w:val="009821E0"/>
    <w:rsid w:val="009822FE"/>
    <w:rsid w:val="00983664"/>
    <w:rsid w:val="00985693"/>
    <w:rsid w:val="009864F1"/>
    <w:rsid w:val="009866C3"/>
    <w:rsid w:val="00986E53"/>
    <w:rsid w:val="00986F48"/>
    <w:rsid w:val="009871E6"/>
    <w:rsid w:val="00991971"/>
    <w:rsid w:val="00993989"/>
    <w:rsid w:val="00993C53"/>
    <w:rsid w:val="00995352"/>
    <w:rsid w:val="00997CA5"/>
    <w:rsid w:val="00997FE0"/>
    <w:rsid w:val="009A00CB"/>
    <w:rsid w:val="009A107B"/>
    <w:rsid w:val="009A59DA"/>
    <w:rsid w:val="009B04BD"/>
    <w:rsid w:val="009B35B8"/>
    <w:rsid w:val="009B4632"/>
    <w:rsid w:val="009B52BD"/>
    <w:rsid w:val="009B5943"/>
    <w:rsid w:val="009C660A"/>
    <w:rsid w:val="009C6945"/>
    <w:rsid w:val="009C6A68"/>
    <w:rsid w:val="009C6FF0"/>
    <w:rsid w:val="009C73C4"/>
    <w:rsid w:val="009D02E8"/>
    <w:rsid w:val="009D08C4"/>
    <w:rsid w:val="009D0CEB"/>
    <w:rsid w:val="009D103B"/>
    <w:rsid w:val="009D16C6"/>
    <w:rsid w:val="009D17B5"/>
    <w:rsid w:val="009D2234"/>
    <w:rsid w:val="009D257A"/>
    <w:rsid w:val="009D26F0"/>
    <w:rsid w:val="009D32F6"/>
    <w:rsid w:val="009D38F0"/>
    <w:rsid w:val="009D3F7C"/>
    <w:rsid w:val="009D4B53"/>
    <w:rsid w:val="009D5DF1"/>
    <w:rsid w:val="009D5FAB"/>
    <w:rsid w:val="009E05EB"/>
    <w:rsid w:val="009E093F"/>
    <w:rsid w:val="009E141C"/>
    <w:rsid w:val="009E1EB3"/>
    <w:rsid w:val="009E2C9D"/>
    <w:rsid w:val="009E4B57"/>
    <w:rsid w:val="009E502C"/>
    <w:rsid w:val="009E6850"/>
    <w:rsid w:val="009E741F"/>
    <w:rsid w:val="009E77BE"/>
    <w:rsid w:val="009F0947"/>
    <w:rsid w:val="009F0BB5"/>
    <w:rsid w:val="009F4AE2"/>
    <w:rsid w:val="009F5A8D"/>
    <w:rsid w:val="009F6401"/>
    <w:rsid w:val="009F6C44"/>
    <w:rsid w:val="009F7648"/>
    <w:rsid w:val="009F7D10"/>
    <w:rsid w:val="00A00594"/>
    <w:rsid w:val="00A00F1C"/>
    <w:rsid w:val="00A01115"/>
    <w:rsid w:val="00A0176B"/>
    <w:rsid w:val="00A02014"/>
    <w:rsid w:val="00A02DCC"/>
    <w:rsid w:val="00A032C4"/>
    <w:rsid w:val="00A04BCA"/>
    <w:rsid w:val="00A061D1"/>
    <w:rsid w:val="00A067B5"/>
    <w:rsid w:val="00A073CC"/>
    <w:rsid w:val="00A10F2D"/>
    <w:rsid w:val="00A12BFF"/>
    <w:rsid w:val="00A12D89"/>
    <w:rsid w:val="00A16626"/>
    <w:rsid w:val="00A213D5"/>
    <w:rsid w:val="00A21A32"/>
    <w:rsid w:val="00A21FEA"/>
    <w:rsid w:val="00A222E8"/>
    <w:rsid w:val="00A2343E"/>
    <w:rsid w:val="00A2362E"/>
    <w:rsid w:val="00A23F13"/>
    <w:rsid w:val="00A23FA1"/>
    <w:rsid w:val="00A27823"/>
    <w:rsid w:val="00A27893"/>
    <w:rsid w:val="00A2797F"/>
    <w:rsid w:val="00A27A8B"/>
    <w:rsid w:val="00A32AF8"/>
    <w:rsid w:val="00A37F32"/>
    <w:rsid w:val="00A37FC5"/>
    <w:rsid w:val="00A41653"/>
    <w:rsid w:val="00A42009"/>
    <w:rsid w:val="00A421E7"/>
    <w:rsid w:val="00A424FD"/>
    <w:rsid w:val="00A434AC"/>
    <w:rsid w:val="00A4484A"/>
    <w:rsid w:val="00A448AF"/>
    <w:rsid w:val="00A452C6"/>
    <w:rsid w:val="00A46F63"/>
    <w:rsid w:val="00A477A8"/>
    <w:rsid w:val="00A47B8A"/>
    <w:rsid w:val="00A529E9"/>
    <w:rsid w:val="00A545EF"/>
    <w:rsid w:val="00A54D46"/>
    <w:rsid w:val="00A56FD5"/>
    <w:rsid w:val="00A57049"/>
    <w:rsid w:val="00A57128"/>
    <w:rsid w:val="00A5748B"/>
    <w:rsid w:val="00A60012"/>
    <w:rsid w:val="00A6125D"/>
    <w:rsid w:val="00A61BAF"/>
    <w:rsid w:val="00A61D99"/>
    <w:rsid w:val="00A62A45"/>
    <w:rsid w:val="00A635AD"/>
    <w:rsid w:val="00A6410D"/>
    <w:rsid w:val="00A648F7"/>
    <w:rsid w:val="00A65DD0"/>
    <w:rsid w:val="00A66251"/>
    <w:rsid w:val="00A666DE"/>
    <w:rsid w:val="00A66EE8"/>
    <w:rsid w:val="00A70B4C"/>
    <w:rsid w:val="00A71702"/>
    <w:rsid w:val="00A77076"/>
    <w:rsid w:val="00A801F7"/>
    <w:rsid w:val="00A80F24"/>
    <w:rsid w:val="00A825B3"/>
    <w:rsid w:val="00A83C2E"/>
    <w:rsid w:val="00A84BDA"/>
    <w:rsid w:val="00A8512D"/>
    <w:rsid w:val="00A85965"/>
    <w:rsid w:val="00A85A1B"/>
    <w:rsid w:val="00A85AA4"/>
    <w:rsid w:val="00A92C70"/>
    <w:rsid w:val="00A92D4B"/>
    <w:rsid w:val="00A9347D"/>
    <w:rsid w:val="00A943B1"/>
    <w:rsid w:val="00A96E06"/>
    <w:rsid w:val="00A9749A"/>
    <w:rsid w:val="00AA0240"/>
    <w:rsid w:val="00AA1E44"/>
    <w:rsid w:val="00AA237B"/>
    <w:rsid w:val="00AA24B3"/>
    <w:rsid w:val="00AA27AA"/>
    <w:rsid w:val="00AA2ACB"/>
    <w:rsid w:val="00AA3279"/>
    <w:rsid w:val="00AA6622"/>
    <w:rsid w:val="00AA7184"/>
    <w:rsid w:val="00AA7A62"/>
    <w:rsid w:val="00AB11FF"/>
    <w:rsid w:val="00AB21C5"/>
    <w:rsid w:val="00AB29FE"/>
    <w:rsid w:val="00AB2BFD"/>
    <w:rsid w:val="00AB30EB"/>
    <w:rsid w:val="00AB30F6"/>
    <w:rsid w:val="00AB3F1A"/>
    <w:rsid w:val="00AB45B7"/>
    <w:rsid w:val="00AB467A"/>
    <w:rsid w:val="00AB46CD"/>
    <w:rsid w:val="00AC0063"/>
    <w:rsid w:val="00AC03FA"/>
    <w:rsid w:val="00AC05F4"/>
    <w:rsid w:val="00AC0926"/>
    <w:rsid w:val="00AC1598"/>
    <w:rsid w:val="00AC3057"/>
    <w:rsid w:val="00AC3816"/>
    <w:rsid w:val="00AC63D0"/>
    <w:rsid w:val="00AC6726"/>
    <w:rsid w:val="00AC7136"/>
    <w:rsid w:val="00AD13BA"/>
    <w:rsid w:val="00AD21D8"/>
    <w:rsid w:val="00AD4528"/>
    <w:rsid w:val="00AD5B1E"/>
    <w:rsid w:val="00AD64D8"/>
    <w:rsid w:val="00AD664A"/>
    <w:rsid w:val="00AD68E9"/>
    <w:rsid w:val="00AD6A3B"/>
    <w:rsid w:val="00AD6D2F"/>
    <w:rsid w:val="00AD6ECB"/>
    <w:rsid w:val="00AD777D"/>
    <w:rsid w:val="00AE1020"/>
    <w:rsid w:val="00AE1314"/>
    <w:rsid w:val="00AE2036"/>
    <w:rsid w:val="00AE2A4A"/>
    <w:rsid w:val="00AE38F9"/>
    <w:rsid w:val="00AE43CB"/>
    <w:rsid w:val="00AE4CA7"/>
    <w:rsid w:val="00AE5BF4"/>
    <w:rsid w:val="00AE7679"/>
    <w:rsid w:val="00AF142D"/>
    <w:rsid w:val="00AF27C9"/>
    <w:rsid w:val="00AF36B2"/>
    <w:rsid w:val="00AF5647"/>
    <w:rsid w:val="00B00EC2"/>
    <w:rsid w:val="00B01DA7"/>
    <w:rsid w:val="00B02483"/>
    <w:rsid w:val="00B0253E"/>
    <w:rsid w:val="00B02717"/>
    <w:rsid w:val="00B02824"/>
    <w:rsid w:val="00B02ECB"/>
    <w:rsid w:val="00B03EE0"/>
    <w:rsid w:val="00B04717"/>
    <w:rsid w:val="00B06B5A"/>
    <w:rsid w:val="00B1082D"/>
    <w:rsid w:val="00B111F2"/>
    <w:rsid w:val="00B11421"/>
    <w:rsid w:val="00B11B44"/>
    <w:rsid w:val="00B12FFA"/>
    <w:rsid w:val="00B13A71"/>
    <w:rsid w:val="00B13C28"/>
    <w:rsid w:val="00B13F8C"/>
    <w:rsid w:val="00B143EB"/>
    <w:rsid w:val="00B144FE"/>
    <w:rsid w:val="00B150D2"/>
    <w:rsid w:val="00B16141"/>
    <w:rsid w:val="00B171C8"/>
    <w:rsid w:val="00B20BCE"/>
    <w:rsid w:val="00B21354"/>
    <w:rsid w:val="00B228B4"/>
    <w:rsid w:val="00B22A9E"/>
    <w:rsid w:val="00B23B19"/>
    <w:rsid w:val="00B24A68"/>
    <w:rsid w:val="00B2541C"/>
    <w:rsid w:val="00B25ED8"/>
    <w:rsid w:val="00B26745"/>
    <w:rsid w:val="00B2683C"/>
    <w:rsid w:val="00B26BED"/>
    <w:rsid w:val="00B2705D"/>
    <w:rsid w:val="00B31F28"/>
    <w:rsid w:val="00B32C18"/>
    <w:rsid w:val="00B33151"/>
    <w:rsid w:val="00B3377D"/>
    <w:rsid w:val="00B33F3B"/>
    <w:rsid w:val="00B3430E"/>
    <w:rsid w:val="00B34981"/>
    <w:rsid w:val="00B3547B"/>
    <w:rsid w:val="00B356D5"/>
    <w:rsid w:val="00B356D9"/>
    <w:rsid w:val="00B35B74"/>
    <w:rsid w:val="00B360D6"/>
    <w:rsid w:val="00B36A81"/>
    <w:rsid w:val="00B37328"/>
    <w:rsid w:val="00B37AD8"/>
    <w:rsid w:val="00B37D40"/>
    <w:rsid w:val="00B41000"/>
    <w:rsid w:val="00B41284"/>
    <w:rsid w:val="00B4189C"/>
    <w:rsid w:val="00B41D7D"/>
    <w:rsid w:val="00B42BFD"/>
    <w:rsid w:val="00B435C2"/>
    <w:rsid w:val="00B445C8"/>
    <w:rsid w:val="00B44E3C"/>
    <w:rsid w:val="00B452A3"/>
    <w:rsid w:val="00B45668"/>
    <w:rsid w:val="00B46F09"/>
    <w:rsid w:val="00B47079"/>
    <w:rsid w:val="00B50BD9"/>
    <w:rsid w:val="00B51579"/>
    <w:rsid w:val="00B518EA"/>
    <w:rsid w:val="00B53520"/>
    <w:rsid w:val="00B538B3"/>
    <w:rsid w:val="00B53FA0"/>
    <w:rsid w:val="00B55C9E"/>
    <w:rsid w:val="00B56BDF"/>
    <w:rsid w:val="00B56FFD"/>
    <w:rsid w:val="00B62233"/>
    <w:rsid w:val="00B62944"/>
    <w:rsid w:val="00B64639"/>
    <w:rsid w:val="00B64A7E"/>
    <w:rsid w:val="00B66199"/>
    <w:rsid w:val="00B66A20"/>
    <w:rsid w:val="00B66DFA"/>
    <w:rsid w:val="00B7000A"/>
    <w:rsid w:val="00B70A68"/>
    <w:rsid w:val="00B70B10"/>
    <w:rsid w:val="00B70C0C"/>
    <w:rsid w:val="00B70D3D"/>
    <w:rsid w:val="00B70FA1"/>
    <w:rsid w:val="00B7120C"/>
    <w:rsid w:val="00B73E52"/>
    <w:rsid w:val="00B743C6"/>
    <w:rsid w:val="00B74708"/>
    <w:rsid w:val="00B74BFC"/>
    <w:rsid w:val="00B75401"/>
    <w:rsid w:val="00B77092"/>
    <w:rsid w:val="00B772C7"/>
    <w:rsid w:val="00B776A4"/>
    <w:rsid w:val="00B80B9E"/>
    <w:rsid w:val="00B837C1"/>
    <w:rsid w:val="00B84383"/>
    <w:rsid w:val="00B84C5E"/>
    <w:rsid w:val="00B867AF"/>
    <w:rsid w:val="00B872F3"/>
    <w:rsid w:val="00B9048C"/>
    <w:rsid w:val="00B90BCD"/>
    <w:rsid w:val="00B90E8F"/>
    <w:rsid w:val="00B92338"/>
    <w:rsid w:val="00B9256B"/>
    <w:rsid w:val="00B94B0D"/>
    <w:rsid w:val="00B94D48"/>
    <w:rsid w:val="00B96775"/>
    <w:rsid w:val="00B96EB7"/>
    <w:rsid w:val="00B96F4A"/>
    <w:rsid w:val="00B974CD"/>
    <w:rsid w:val="00B9784E"/>
    <w:rsid w:val="00B97A87"/>
    <w:rsid w:val="00B97AEA"/>
    <w:rsid w:val="00B97FDF"/>
    <w:rsid w:val="00BA06DD"/>
    <w:rsid w:val="00BA096B"/>
    <w:rsid w:val="00BA2565"/>
    <w:rsid w:val="00BA26D4"/>
    <w:rsid w:val="00BA2B73"/>
    <w:rsid w:val="00BA388C"/>
    <w:rsid w:val="00BA44C0"/>
    <w:rsid w:val="00BA507F"/>
    <w:rsid w:val="00BA5B2C"/>
    <w:rsid w:val="00BA607A"/>
    <w:rsid w:val="00BA6746"/>
    <w:rsid w:val="00BA78BA"/>
    <w:rsid w:val="00BB12DD"/>
    <w:rsid w:val="00BB3C7E"/>
    <w:rsid w:val="00BB3E64"/>
    <w:rsid w:val="00BB4200"/>
    <w:rsid w:val="00BB64FC"/>
    <w:rsid w:val="00BB74E8"/>
    <w:rsid w:val="00BB7500"/>
    <w:rsid w:val="00BB7D40"/>
    <w:rsid w:val="00BC0C02"/>
    <w:rsid w:val="00BC1094"/>
    <w:rsid w:val="00BC2164"/>
    <w:rsid w:val="00BC34C9"/>
    <w:rsid w:val="00BC601D"/>
    <w:rsid w:val="00BC7868"/>
    <w:rsid w:val="00BC7986"/>
    <w:rsid w:val="00BD0E70"/>
    <w:rsid w:val="00BD41C2"/>
    <w:rsid w:val="00BD47E1"/>
    <w:rsid w:val="00BD66D3"/>
    <w:rsid w:val="00BD79A5"/>
    <w:rsid w:val="00BE0D3B"/>
    <w:rsid w:val="00BE43F0"/>
    <w:rsid w:val="00BE4E10"/>
    <w:rsid w:val="00BE53D4"/>
    <w:rsid w:val="00BE5647"/>
    <w:rsid w:val="00BE5B47"/>
    <w:rsid w:val="00BE75B4"/>
    <w:rsid w:val="00BE7B8D"/>
    <w:rsid w:val="00BF0025"/>
    <w:rsid w:val="00BF3FCA"/>
    <w:rsid w:val="00BF44B7"/>
    <w:rsid w:val="00BF47F2"/>
    <w:rsid w:val="00BF5361"/>
    <w:rsid w:val="00BF5B3E"/>
    <w:rsid w:val="00BF6014"/>
    <w:rsid w:val="00BF607B"/>
    <w:rsid w:val="00BF65F2"/>
    <w:rsid w:val="00BF7B52"/>
    <w:rsid w:val="00C00859"/>
    <w:rsid w:val="00C008F7"/>
    <w:rsid w:val="00C0178D"/>
    <w:rsid w:val="00C01B87"/>
    <w:rsid w:val="00C02CEA"/>
    <w:rsid w:val="00C044F1"/>
    <w:rsid w:val="00C045E7"/>
    <w:rsid w:val="00C0501F"/>
    <w:rsid w:val="00C05E36"/>
    <w:rsid w:val="00C0732C"/>
    <w:rsid w:val="00C075D7"/>
    <w:rsid w:val="00C07A96"/>
    <w:rsid w:val="00C10000"/>
    <w:rsid w:val="00C1044D"/>
    <w:rsid w:val="00C11439"/>
    <w:rsid w:val="00C13273"/>
    <w:rsid w:val="00C13953"/>
    <w:rsid w:val="00C15451"/>
    <w:rsid w:val="00C15595"/>
    <w:rsid w:val="00C15C1A"/>
    <w:rsid w:val="00C166CD"/>
    <w:rsid w:val="00C1694E"/>
    <w:rsid w:val="00C16B2A"/>
    <w:rsid w:val="00C16B33"/>
    <w:rsid w:val="00C1790C"/>
    <w:rsid w:val="00C17EED"/>
    <w:rsid w:val="00C203CB"/>
    <w:rsid w:val="00C213DB"/>
    <w:rsid w:val="00C23082"/>
    <w:rsid w:val="00C231D1"/>
    <w:rsid w:val="00C23562"/>
    <w:rsid w:val="00C23A79"/>
    <w:rsid w:val="00C23CB8"/>
    <w:rsid w:val="00C255E4"/>
    <w:rsid w:val="00C25CF9"/>
    <w:rsid w:val="00C26B4E"/>
    <w:rsid w:val="00C276D0"/>
    <w:rsid w:val="00C306E4"/>
    <w:rsid w:val="00C3339F"/>
    <w:rsid w:val="00C33992"/>
    <w:rsid w:val="00C34EE9"/>
    <w:rsid w:val="00C352E7"/>
    <w:rsid w:val="00C36751"/>
    <w:rsid w:val="00C36E64"/>
    <w:rsid w:val="00C37643"/>
    <w:rsid w:val="00C40963"/>
    <w:rsid w:val="00C433E7"/>
    <w:rsid w:val="00C43528"/>
    <w:rsid w:val="00C43C71"/>
    <w:rsid w:val="00C4553B"/>
    <w:rsid w:val="00C46656"/>
    <w:rsid w:val="00C46AB8"/>
    <w:rsid w:val="00C47EC6"/>
    <w:rsid w:val="00C50887"/>
    <w:rsid w:val="00C5163F"/>
    <w:rsid w:val="00C52A95"/>
    <w:rsid w:val="00C52F21"/>
    <w:rsid w:val="00C53D88"/>
    <w:rsid w:val="00C54573"/>
    <w:rsid w:val="00C547B1"/>
    <w:rsid w:val="00C553BF"/>
    <w:rsid w:val="00C55582"/>
    <w:rsid w:val="00C56782"/>
    <w:rsid w:val="00C57F8B"/>
    <w:rsid w:val="00C602DB"/>
    <w:rsid w:val="00C60AEC"/>
    <w:rsid w:val="00C619C2"/>
    <w:rsid w:val="00C62797"/>
    <w:rsid w:val="00C62E3B"/>
    <w:rsid w:val="00C63B64"/>
    <w:rsid w:val="00C63C48"/>
    <w:rsid w:val="00C65109"/>
    <w:rsid w:val="00C65293"/>
    <w:rsid w:val="00C6552D"/>
    <w:rsid w:val="00C65921"/>
    <w:rsid w:val="00C65AE6"/>
    <w:rsid w:val="00C6626F"/>
    <w:rsid w:val="00C67DD9"/>
    <w:rsid w:val="00C7150F"/>
    <w:rsid w:val="00C747F0"/>
    <w:rsid w:val="00C74859"/>
    <w:rsid w:val="00C74C0D"/>
    <w:rsid w:val="00C75F73"/>
    <w:rsid w:val="00C75F84"/>
    <w:rsid w:val="00C776A5"/>
    <w:rsid w:val="00C777CC"/>
    <w:rsid w:val="00C77BB7"/>
    <w:rsid w:val="00C77BEC"/>
    <w:rsid w:val="00C8099A"/>
    <w:rsid w:val="00C80FAD"/>
    <w:rsid w:val="00C81D2B"/>
    <w:rsid w:val="00C83042"/>
    <w:rsid w:val="00C83787"/>
    <w:rsid w:val="00C85D25"/>
    <w:rsid w:val="00C866A6"/>
    <w:rsid w:val="00C8763A"/>
    <w:rsid w:val="00C90FBE"/>
    <w:rsid w:val="00C92A8B"/>
    <w:rsid w:val="00C92B1B"/>
    <w:rsid w:val="00C952F2"/>
    <w:rsid w:val="00C96484"/>
    <w:rsid w:val="00CA1A2E"/>
    <w:rsid w:val="00CA1BE2"/>
    <w:rsid w:val="00CA2C19"/>
    <w:rsid w:val="00CA2DCF"/>
    <w:rsid w:val="00CA32A1"/>
    <w:rsid w:val="00CA3A5E"/>
    <w:rsid w:val="00CA48F5"/>
    <w:rsid w:val="00CA5357"/>
    <w:rsid w:val="00CB3484"/>
    <w:rsid w:val="00CB38AD"/>
    <w:rsid w:val="00CB4445"/>
    <w:rsid w:val="00CB515A"/>
    <w:rsid w:val="00CB5731"/>
    <w:rsid w:val="00CB5860"/>
    <w:rsid w:val="00CB607A"/>
    <w:rsid w:val="00CB651D"/>
    <w:rsid w:val="00CB6B22"/>
    <w:rsid w:val="00CB6EA8"/>
    <w:rsid w:val="00CB72CE"/>
    <w:rsid w:val="00CB7D4C"/>
    <w:rsid w:val="00CC0AAA"/>
    <w:rsid w:val="00CC24CB"/>
    <w:rsid w:val="00CC397D"/>
    <w:rsid w:val="00CC4457"/>
    <w:rsid w:val="00CC4A5B"/>
    <w:rsid w:val="00CC55F4"/>
    <w:rsid w:val="00CC6462"/>
    <w:rsid w:val="00CC668D"/>
    <w:rsid w:val="00CC66EE"/>
    <w:rsid w:val="00CC79A3"/>
    <w:rsid w:val="00CD129B"/>
    <w:rsid w:val="00CD1458"/>
    <w:rsid w:val="00CD368E"/>
    <w:rsid w:val="00CD3C50"/>
    <w:rsid w:val="00CD43D3"/>
    <w:rsid w:val="00CD4527"/>
    <w:rsid w:val="00CD4F74"/>
    <w:rsid w:val="00CD5553"/>
    <w:rsid w:val="00CD7D13"/>
    <w:rsid w:val="00CE0ECD"/>
    <w:rsid w:val="00CE146B"/>
    <w:rsid w:val="00CE14CF"/>
    <w:rsid w:val="00CE44FA"/>
    <w:rsid w:val="00CE4669"/>
    <w:rsid w:val="00CE50F6"/>
    <w:rsid w:val="00CE573F"/>
    <w:rsid w:val="00CF0A3A"/>
    <w:rsid w:val="00CF1BE4"/>
    <w:rsid w:val="00CF2CF6"/>
    <w:rsid w:val="00CF3200"/>
    <w:rsid w:val="00CF33CA"/>
    <w:rsid w:val="00CF33E1"/>
    <w:rsid w:val="00CF44F5"/>
    <w:rsid w:val="00CF6C5C"/>
    <w:rsid w:val="00CF78D1"/>
    <w:rsid w:val="00D00F00"/>
    <w:rsid w:val="00D01BF5"/>
    <w:rsid w:val="00D01E09"/>
    <w:rsid w:val="00D0257F"/>
    <w:rsid w:val="00D02D5A"/>
    <w:rsid w:val="00D02F77"/>
    <w:rsid w:val="00D02FEA"/>
    <w:rsid w:val="00D03309"/>
    <w:rsid w:val="00D038FE"/>
    <w:rsid w:val="00D03AD7"/>
    <w:rsid w:val="00D03E13"/>
    <w:rsid w:val="00D040CF"/>
    <w:rsid w:val="00D0593A"/>
    <w:rsid w:val="00D0657D"/>
    <w:rsid w:val="00D07C78"/>
    <w:rsid w:val="00D104AE"/>
    <w:rsid w:val="00D115F2"/>
    <w:rsid w:val="00D11B1F"/>
    <w:rsid w:val="00D11F79"/>
    <w:rsid w:val="00D13688"/>
    <w:rsid w:val="00D1421B"/>
    <w:rsid w:val="00D14F02"/>
    <w:rsid w:val="00D15577"/>
    <w:rsid w:val="00D15C32"/>
    <w:rsid w:val="00D16251"/>
    <w:rsid w:val="00D16EAC"/>
    <w:rsid w:val="00D1723D"/>
    <w:rsid w:val="00D20FEE"/>
    <w:rsid w:val="00D210DE"/>
    <w:rsid w:val="00D21E9D"/>
    <w:rsid w:val="00D23115"/>
    <w:rsid w:val="00D23367"/>
    <w:rsid w:val="00D23B8B"/>
    <w:rsid w:val="00D23C33"/>
    <w:rsid w:val="00D24A40"/>
    <w:rsid w:val="00D253CA"/>
    <w:rsid w:val="00D25A65"/>
    <w:rsid w:val="00D26AE4"/>
    <w:rsid w:val="00D26E01"/>
    <w:rsid w:val="00D3510F"/>
    <w:rsid w:val="00D359E0"/>
    <w:rsid w:val="00D37A1E"/>
    <w:rsid w:val="00D40D86"/>
    <w:rsid w:val="00D41427"/>
    <w:rsid w:val="00D42AE5"/>
    <w:rsid w:val="00D43AA4"/>
    <w:rsid w:val="00D43EDC"/>
    <w:rsid w:val="00D43F43"/>
    <w:rsid w:val="00D44266"/>
    <w:rsid w:val="00D45E6C"/>
    <w:rsid w:val="00D46778"/>
    <w:rsid w:val="00D467AD"/>
    <w:rsid w:val="00D46C1C"/>
    <w:rsid w:val="00D47619"/>
    <w:rsid w:val="00D478F4"/>
    <w:rsid w:val="00D47CAC"/>
    <w:rsid w:val="00D52453"/>
    <w:rsid w:val="00D551CC"/>
    <w:rsid w:val="00D557A7"/>
    <w:rsid w:val="00D5633E"/>
    <w:rsid w:val="00D6023E"/>
    <w:rsid w:val="00D60E05"/>
    <w:rsid w:val="00D620E3"/>
    <w:rsid w:val="00D62F0A"/>
    <w:rsid w:val="00D63170"/>
    <w:rsid w:val="00D63178"/>
    <w:rsid w:val="00D656AE"/>
    <w:rsid w:val="00D66FAA"/>
    <w:rsid w:val="00D71C47"/>
    <w:rsid w:val="00D72A8D"/>
    <w:rsid w:val="00D72AAC"/>
    <w:rsid w:val="00D73B12"/>
    <w:rsid w:val="00D74517"/>
    <w:rsid w:val="00D74C8B"/>
    <w:rsid w:val="00D770EE"/>
    <w:rsid w:val="00D80172"/>
    <w:rsid w:val="00D806D2"/>
    <w:rsid w:val="00D81037"/>
    <w:rsid w:val="00D843D7"/>
    <w:rsid w:val="00D85774"/>
    <w:rsid w:val="00D85F66"/>
    <w:rsid w:val="00D87F28"/>
    <w:rsid w:val="00D90EE9"/>
    <w:rsid w:val="00D915D6"/>
    <w:rsid w:val="00D91667"/>
    <w:rsid w:val="00D92264"/>
    <w:rsid w:val="00D92B04"/>
    <w:rsid w:val="00D9374B"/>
    <w:rsid w:val="00D9507A"/>
    <w:rsid w:val="00D95217"/>
    <w:rsid w:val="00D96174"/>
    <w:rsid w:val="00D977A9"/>
    <w:rsid w:val="00D97F8F"/>
    <w:rsid w:val="00DA144D"/>
    <w:rsid w:val="00DA20BE"/>
    <w:rsid w:val="00DA31A8"/>
    <w:rsid w:val="00DA367D"/>
    <w:rsid w:val="00DA39AB"/>
    <w:rsid w:val="00DA3FAD"/>
    <w:rsid w:val="00DA44F7"/>
    <w:rsid w:val="00DA45BE"/>
    <w:rsid w:val="00DA5ED6"/>
    <w:rsid w:val="00DA6E21"/>
    <w:rsid w:val="00DB3184"/>
    <w:rsid w:val="00DB3F50"/>
    <w:rsid w:val="00DB7448"/>
    <w:rsid w:val="00DB777F"/>
    <w:rsid w:val="00DC0319"/>
    <w:rsid w:val="00DC3754"/>
    <w:rsid w:val="00DC3CC0"/>
    <w:rsid w:val="00DC5844"/>
    <w:rsid w:val="00DC6455"/>
    <w:rsid w:val="00DC7624"/>
    <w:rsid w:val="00DD089B"/>
    <w:rsid w:val="00DD231D"/>
    <w:rsid w:val="00DD37A4"/>
    <w:rsid w:val="00DD71E9"/>
    <w:rsid w:val="00DD79D0"/>
    <w:rsid w:val="00DD7D0E"/>
    <w:rsid w:val="00DE0EC5"/>
    <w:rsid w:val="00DE201A"/>
    <w:rsid w:val="00DE3B46"/>
    <w:rsid w:val="00DE40B3"/>
    <w:rsid w:val="00DE4DA6"/>
    <w:rsid w:val="00DE6091"/>
    <w:rsid w:val="00DE6988"/>
    <w:rsid w:val="00DE69BF"/>
    <w:rsid w:val="00DE6FCB"/>
    <w:rsid w:val="00DE7517"/>
    <w:rsid w:val="00DF0933"/>
    <w:rsid w:val="00DF0DB9"/>
    <w:rsid w:val="00DF19C0"/>
    <w:rsid w:val="00DF236B"/>
    <w:rsid w:val="00DF3034"/>
    <w:rsid w:val="00DF3DDE"/>
    <w:rsid w:val="00DF538C"/>
    <w:rsid w:val="00DF7E35"/>
    <w:rsid w:val="00E00131"/>
    <w:rsid w:val="00E00576"/>
    <w:rsid w:val="00E00B93"/>
    <w:rsid w:val="00E01FD8"/>
    <w:rsid w:val="00E04282"/>
    <w:rsid w:val="00E06546"/>
    <w:rsid w:val="00E065E7"/>
    <w:rsid w:val="00E077DF"/>
    <w:rsid w:val="00E07B40"/>
    <w:rsid w:val="00E07C51"/>
    <w:rsid w:val="00E11545"/>
    <w:rsid w:val="00E12DEF"/>
    <w:rsid w:val="00E15B51"/>
    <w:rsid w:val="00E17AC9"/>
    <w:rsid w:val="00E20046"/>
    <w:rsid w:val="00E21686"/>
    <w:rsid w:val="00E2211B"/>
    <w:rsid w:val="00E2216B"/>
    <w:rsid w:val="00E22A5B"/>
    <w:rsid w:val="00E23603"/>
    <w:rsid w:val="00E23A42"/>
    <w:rsid w:val="00E24019"/>
    <w:rsid w:val="00E25053"/>
    <w:rsid w:val="00E256EC"/>
    <w:rsid w:val="00E273DF"/>
    <w:rsid w:val="00E27E4D"/>
    <w:rsid w:val="00E319E3"/>
    <w:rsid w:val="00E322A9"/>
    <w:rsid w:val="00E32724"/>
    <w:rsid w:val="00E33F84"/>
    <w:rsid w:val="00E359EB"/>
    <w:rsid w:val="00E361AB"/>
    <w:rsid w:val="00E3667C"/>
    <w:rsid w:val="00E36C28"/>
    <w:rsid w:val="00E3734B"/>
    <w:rsid w:val="00E41E7C"/>
    <w:rsid w:val="00E423AA"/>
    <w:rsid w:val="00E45D20"/>
    <w:rsid w:val="00E462A1"/>
    <w:rsid w:val="00E46782"/>
    <w:rsid w:val="00E50F21"/>
    <w:rsid w:val="00E51D7C"/>
    <w:rsid w:val="00E52320"/>
    <w:rsid w:val="00E52822"/>
    <w:rsid w:val="00E53712"/>
    <w:rsid w:val="00E55005"/>
    <w:rsid w:val="00E559A6"/>
    <w:rsid w:val="00E55A5A"/>
    <w:rsid w:val="00E56826"/>
    <w:rsid w:val="00E608E4"/>
    <w:rsid w:val="00E61922"/>
    <w:rsid w:val="00E62281"/>
    <w:rsid w:val="00E63622"/>
    <w:rsid w:val="00E652D7"/>
    <w:rsid w:val="00E661D8"/>
    <w:rsid w:val="00E663A5"/>
    <w:rsid w:val="00E6712C"/>
    <w:rsid w:val="00E6783C"/>
    <w:rsid w:val="00E721A9"/>
    <w:rsid w:val="00E75BFB"/>
    <w:rsid w:val="00E76AC1"/>
    <w:rsid w:val="00E771D4"/>
    <w:rsid w:val="00E772C1"/>
    <w:rsid w:val="00E81195"/>
    <w:rsid w:val="00E815FE"/>
    <w:rsid w:val="00E82EE0"/>
    <w:rsid w:val="00E84692"/>
    <w:rsid w:val="00E84730"/>
    <w:rsid w:val="00E84D7B"/>
    <w:rsid w:val="00E84F67"/>
    <w:rsid w:val="00E8556A"/>
    <w:rsid w:val="00E85700"/>
    <w:rsid w:val="00E85E09"/>
    <w:rsid w:val="00E9042F"/>
    <w:rsid w:val="00E9382B"/>
    <w:rsid w:val="00E942D7"/>
    <w:rsid w:val="00E944C5"/>
    <w:rsid w:val="00E94EBF"/>
    <w:rsid w:val="00E95832"/>
    <w:rsid w:val="00E96904"/>
    <w:rsid w:val="00E969F9"/>
    <w:rsid w:val="00E97CBD"/>
    <w:rsid w:val="00EA074B"/>
    <w:rsid w:val="00EA13B2"/>
    <w:rsid w:val="00EA2FAB"/>
    <w:rsid w:val="00EA3DC2"/>
    <w:rsid w:val="00EA679F"/>
    <w:rsid w:val="00EA6D7B"/>
    <w:rsid w:val="00EB18E0"/>
    <w:rsid w:val="00EB2DA0"/>
    <w:rsid w:val="00EB3F54"/>
    <w:rsid w:val="00EB41F0"/>
    <w:rsid w:val="00EB42CE"/>
    <w:rsid w:val="00EB4404"/>
    <w:rsid w:val="00EB5365"/>
    <w:rsid w:val="00EB5466"/>
    <w:rsid w:val="00EB577F"/>
    <w:rsid w:val="00EB62BD"/>
    <w:rsid w:val="00EB6FB8"/>
    <w:rsid w:val="00EB6FEC"/>
    <w:rsid w:val="00EB772E"/>
    <w:rsid w:val="00EB785C"/>
    <w:rsid w:val="00EB7A18"/>
    <w:rsid w:val="00EC0C88"/>
    <w:rsid w:val="00EC118B"/>
    <w:rsid w:val="00EC1B82"/>
    <w:rsid w:val="00EC44C3"/>
    <w:rsid w:val="00EC45FF"/>
    <w:rsid w:val="00EC4E80"/>
    <w:rsid w:val="00EC6488"/>
    <w:rsid w:val="00EC7E4D"/>
    <w:rsid w:val="00EC7EFF"/>
    <w:rsid w:val="00ED1ECB"/>
    <w:rsid w:val="00ED1FF0"/>
    <w:rsid w:val="00ED360F"/>
    <w:rsid w:val="00ED6FD3"/>
    <w:rsid w:val="00EE0A6D"/>
    <w:rsid w:val="00EE24DF"/>
    <w:rsid w:val="00EE578C"/>
    <w:rsid w:val="00EE736F"/>
    <w:rsid w:val="00EE7DA2"/>
    <w:rsid w:val="00EF10B0"/>
    <w:rsid w:val="00EF177A"/>
    <w:rsid w:val="00EF22FE"/>
    <w:rsid w:val="00EF2672"/>
    <w:rsid w:val="00EF331A"/>
    <w:rsid w:val="00EF477C"/>
    <w:rsid w:val="00EF4C3E"/>
    <w:rsid w:val="00EF6209"/>
    <w:rsid w:val="00EF6490"/>
    <w:rsid w:val="00EF7EF7"/>
    <w:rsid w:val="00F0068D"/>
    <w:rsid w:val="00F00A6A"/>
    <w:rsid w:val="00F02260"/>
    <w:rsid w:val="00F04150"/>
    <w:rsid w:val="00F042D5"/>
    <w:rsid w:val="00F05263"/>
    <w:rsid w:val="00F066E6"/>
    <w:rsid w:val="00F06876"/>
    <w:rsid w:val="00F07048"/>
    <w:rsid w:val="00F10A64"/>
    <w:rsid w:val="00F147FA"/>
    <w:rsid w:val="00F2030A"/>
    <w:rsid w:val="00F2048A"/>
    <w:rsid w:val="00F20600"/>
    <w:rsid w:val="00F20682"/>
    <w:rsid w:val="00F2097C"/>
    <w:rsid w:val="00F20A86"/>
    <w:rsid w:val="00F218D0"/>
    <w:rsid w:val="00F263B1"/>
    <w:rsid w:val="00F26C18"/>
    <w:rsid w:val="00F26FCD"/>
    <w:rsid w:val="00F27C38"/>
    <w:rsid w:val="00F30BBA"/>
    <w:rsid w:val="00F3250D"/>
    <w:rsid w:val="00F32E5B"/>
    <w:rsid w:val="00F3306D"/>
    <w:rsid w:val="00F34AD5"/>
    <w:rsid w:val="00F34F5C"/>
    <w:rsid w:val="00F3527A"/>
    <w:rsid w:val="00F354AD"/>
    <w:rsid w:val="00F36C1A"/>
    <w:rsid w:val="00F37642"/>
    <w:rsid w:val="00F37A3B"/>
    <w:rsid w:val="00F37D14"/>
    <w:rsid w:val="00F4044E"/>
    <w:rsid w:val="00F404CA"/>
    <w:rsid w:val="00F416EB"/>
    <w:rsid w:val="00F41D1B"/>
    <w:rsid w:val="00F4265F"/>
    <w:rsid w:val="00F445BB"/>
    <w:rsid w:val="00F44EF8"/>
    <w:rsid w:val="00F46C03"/>
    <w:rsid w:val="00F477C9"/>
    <w:rsid w:val="00F505B0"/>
    <w:rsid w:val="00F51970"/>
    <w:rsid w:val="00F53643"/>
    <w:rsid w:val="00F547C3"/>
    <w:rsid w:val="00F55204"/>
    <w:rsid w:val="00F55CA3"/>
    <w:rsid w:val="00F5621C"/>
    <w:rsid w:val="00F56D58"/>
    <w:rsid w:val="00F56F7C"/>
    <w:rsid w:val="00F574D0"/>
    <w:rsid w:val="00F612A8"/>
    <w:rsid w:val="00F61BB1"/>
    <w:rsid w:val="00F623A0"/>
    <w:rsid w:val="00F62AB0"/>
    <w:rsid w:val="00F63928"/>
    <w:rsid w:val="00F63F7F"/>
    <w:rsid w:val="00F640F3"/>
    <w:rsid w:val="00F64418"/>
    <w:rsid w:val="00F661C4"/>
    <w:rsid w:val="00F71BAC"/>
    <w:rsid w:val="00F73C56"/>
    <w:rsid w:val="00F740A8"/>
    <w:rsid w:val="00F74527"/>
    <w:rsid w:val="00F7581D"/>
    <w:rsid w:val="00F773AA"/>
    <w:rsid w:val="00F77E17"/>
    <w:rsid w:val="00F77E30"/>
    <w:rsid w:val="00F77F9A"/>
    <w:rsid w:val="00F80689"/>
    <w:rsid w:val="00F806B3"/>
    <w:rsid w:val="00F8103F"/>
    <w:rsid w:val="00F814AF"/>
    <w:rsid w:val="00F8153C"/>
    <w:rsid w:val="00F825C7"/>
    <w:rsid w:val="00F82C69"/>
    <w:rsid w:val="00F83A33"/>
    <w:rsid w:val="00F84A40"/>
    <w:rsid w:val="00F91D30"/>
    <w:rsid w:val="00F92942"/>
    <w:rsid w:val="00F9328D"/>
    <w:rsid w:val="00F938AB"/>
    <w:rsid w:val="00F93C93"/>
    <w:rsid w:val="00F9496C"/>
    <w:rsid w:val="00F95EA5"/>
    <w:rsid w:val="00F96111"/>
    <w:rsid w:val="00F9665A"/>
    <w:rsid w:val="00F97A24"/>
    <w:rsid w:val="00FA2442"/>
    <w:rsid w:val="00FA35DB"/>
    <w:rsid w:val="00FA541A"/>
    <w:rsid w:val="00FA5A14"/>
    <w:rsid w:val="00FA7BE7"/>
    <w:rsid w:val="00FB0081"/>
    <w:rsid w:val="00FB1CFD"/>
    <w:rsid w:val="00FB50CE"/>
    <w:rsid w:val="00FB5F96"/>
    <w:rsid w:val="00FB638C"/>
    <w:rsid w:val="00FB6724"/>
    <w:rsid w:val="00FB6969"/>
    <w:rsid w:val="00FB69A8"/>
    <w:rsid w:val="00FB7405"/>
    <w:rsid w:val="00FC030A"/>
    <w:rsid w:val="00FC0842"/>
    <w:rsid w:val="00FC29B5"/>
    <w:rsid w:val="00FC3346"/>
    <w:rsid w:val="00FD0526"/>
    <w:rsid w:val="00FD0A65"/>
    <w:rsid w:val="00FD1C7C"/>
    <w:rsid w:val="00FD1EDD"/>
    <w:rsid w:val="00FD653F"/>
    <w:rsid w:val="00FD69E7"/>
    <w:rsid w:val="00FD6DA2"/>
    <w:rsid w:val="00FD7CD9"/>
    <w:rsid w:val="00FD7DDC"/>
    <w:rsid w:val="00FE0CB2"/>
    <w:rsid w:val="00FE1ED2"/>
    <w:rsid w:val="00FE4499"/>
    <w:rsid w:val="00FE51F8"/>
    <w:rsid w:val="00FE64E7"/>
    <w:rsid w:val="00FE7455"/>
    <w:rsid w:val="00FE7B21"/>
    <w:rsid w:val="00FF2EB0"/>
    <w:rsid w:val="00FF354B"/>
    <w:rsid w:val="00FF413B"/>
    <w:rsid w:val="00FF540B"/>
    <w:rsid w:val="00FF5D9F"/>
    <w:rsid w:val="00FF7AF9"/>
    <w:rsid w:val="029F7BBA"/>
    <w:rsid w:val="03EF3EBE"/>
    <w:rsid w:val="06ED7B55"/>
    <w:rsid w:val="08BB41C4"/>
    <w:rsid w:val="09A71DD4"/>
    <w:rsid w:val="09DB5A42"/>
    <w:rsid w:val="0B683C73"/>
    <w:rsid w:val="0B801934"/>
    <w:rsid w:val="0BA83DBF"/>
    <w:rsid w:val="0C0000E3"/>
    <w:rsid w:val="0C002F86"/>
    <w:rsid w:val="0C1D28C8"/>
    <w:rsid w:val="0F281C8E"/>
    <w:rsid w:val="0F9A5C11"/>
    <w:rsid w:val="106E6475"/>
    <w:rsid w:val="11571580"/>
    <w:rsid w:val="12533C20"/>
    <w:rsid w:val="137228B7"/>
    <w:rsid w:val="13DF2F4B"/>
    <w:rsid w:val="147A7CA1"/>
    <w:rsid w:val="162D1484"/>
    <w:rsid w:val="170F0207"/>
    <w:rsid w:val="17203968"/>
    <w:rsid w:val="176E6749"/>
    <w:rsid w:val="190943FD"/>
    <w:rsid w:val="194C41A2"/>
    <w:rsid w:val="19C911CE"/>
    <w:rsid w:val="19CC64C5"/>
    <w:rsid w:val="19E6543B"/>
    <w:rsid w:val="1A3146DE"/>
    <w:rsid w:val="1A8846F7"/>
    <w:rsid w:val="1B5F1B7F"/>
    <w:rsid w:val="1BA2279D"/>
    <w:rsid w:val="1BDD7480"/>
    <w:rsid w:val="1CF656AB"/>
    <w:rsid w:val="1D0E671F"/>
    <w:rsid w:val="1D590126"/>
    <w:rsid w:val="1DC57DAF"/>
    <w:rsid w:val="1E4E4D40"/>
    <w:rsid w:val="1F0B3FB7"/>
    <w:rsid w:val="20BF0E4A"/>
    <w:rsid w:val="219813EA"/>
    <w:rsid w:val="25186637"/>
    <w:rsid w:val="253533C5"/>
    <w:rsid w:val="256E139B"/>
    <w:rsid w:val="25986D72"/>
    <w:rsid w:val="25C07769"/>
    <w:rsid w:val="25C6791F"/>
    <w:rsid w:val="295D392A"/>
    <w:rsid w:val="29FC5959"/>
    <w:rsid w:val="2A5D3C60"/>
    <w:rsid w:val="2A7206A3"/>
    <w:rsid w:val="2ACC0667"/>
    <w:rsid w:val="2AEE502C"/>
    <w:rsid w:val="2B42677D"/>
    <w:rsid w:val="2B873022"/>
    <w:rsid w:val="2CF6456B"/>
    <w:rsid w:val="2E691D45"/>
    <w:rsid w:val="2FFC4700"/>
    <w:rsid w:val="312471AE"/>
    <w:rsid w:val="3217196E"/>
    <w:rsid w:val="32920CB3"/>
    <w:rsid w:val="32A84462"/>
    <w:rsid w:val="34660969"/>
    <w:rsid w:val="34B61A22"/>
    <w:rsid w:val="34CE3358"/>
    <w:rsid w:val="3581018C"/>
    <w:rsid w:val="36585409"/>
    <w:rsid w:val="36F60A58"/>
    <w:rsid w:val="37601390"/>
    <w:rsid w:val="377C2FFC"/>
    <w:rsid w:val="39266E93"/>
    <w:rsid w:val="392C4A6D"/>
    <w:rsid w:val="39A44463"/>
    <w:rsid w:val="3AE15444"/>
    <w:rsid w:val="3B287344"/>
    <w:rsid w:val="3B2A02B2"/>
    <w:rsid w:val="3DB637BE"/>
    <w:rsid w:val="3F263985"/>
    <w:rsid w:val="4048469C"/>
    <w:rsid w:val="41D86A6A"/>
    <w:rsid w:val="420418FF"/>
    <w:rsid w:val="459E2F7E"/>
    <w:rsid w:val="46C24E55"/>
    <w:rsid w:val="471A4266"/>
    <w:rsid w:val="482B4650"/>
    <w:rsid w:val="4B600FCC"/>
    <w:rsid w:val="4C71622C"/>
    <w:rsid w:val="4D735295"/>
    <w:rsid w:val="4D983E25"/>
    <w:rsid w:val="4E5237F7"/>
    <w:rsid w:val="4EAF01A5"/>
    <w:rsid w:val="50311597"/>
    <w:rsid w:val="504944AB"/>
    <w:rsid w:val="5123678D"/>
    <w:rsid w:val="530357AF"/>
    <w:rsid w:val="549254B8"/>
    <w:rsid w:val="55C85436"/>
    <w:rsid w:val="56E1439E"/>
    <w:rsid w:val="581E0F10"/>
    <w:rsid w:val="585356D7"/>
    <w:rsid w:val="585356F2"/>
    <w:rsid w:val="58941B7C"/>
    <w:rsid w:val="59DF1227"/>
    <w:rsid w:val="5AF85669"/>
    <w:rsid w:val="5C93729E"/>
    <w:rsid w:val="5CF96949"/>
    <w:rsid w:val="5DAE40E6"/>
    <w:rsid w:val="5DB51860"/>
    <w:rsid w:val="5E3C5805"/>
    <w:rsid w:val="625F02AF"/>
    <w:rsid w:val="62B20BD0"/>
    <w:rsid w:val="62F26BD0"/>
    <w:rsid w:val="62FD772E"/>
    <w:rsid w:val="63371A62"/>
    <w:rsid w:val="63C302AB"/>
    <w:rsid w:val="6505341F"/>
    <w:rsid w:val="6566705C"/>
    <w:rsid w:val="65C74A5F"/>
    <w:rsid w:val="681A797A"/>
    <w:rsid w:val="6BBC1E9A"/>
    <w:rsid w:val="6C1C74F1"/>
    <w:rsid w:val="6D925B1D"/>
    <w:rsid w:val="6DFD3B4E"/>
    <w:rsid w:val="6E0C50BA"/>
    <w:rsid w:val="6F425301"/>
    <w:rsid w:val="70712977"/>
    <w:rsid w:val="70EA1818"/>
    <w:rsid w:val="72EB1277"/>
    <w:rsid w:val="73614AD8"/>
    <w:rsid w:val="73C4583A"/>
    <w:rsid w:val="75A335AF"/>
    <w:rsid w:val="764C5F9F"/>
    <w:rsid w:val="769A17C7"/>
    <w:rsid w:val="793965D3"/>
    <w:rsid w:val="7A07406A"/>
    <w:rsid w:val="7A3B0BCF"/>
    <w:rsid w:val="7A45554D"/>
    <w:rsid w:val="7ACB0FD3"/>
    <w:rsid w:val="7C16483B"/>
    <w:rsid w:val="7DD07EAD"/>
    <w:rsid w:val="7F0864C5"/>
    <w:rsid w:val="7FD120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SimSun-ExtB" w:cs="宋体"/>
      <w:sz w:val="22"/>
      <w:szCs w:val="24"/>
      <w:lang w:val="en-US" w:eastAsia="zh-CN" w:bidi="ar-SA"/>
    </w:rPr>
  </w:style>
  <w:style w:type="paragraph" w:styleId="2">
    <w:name w:val="heading 1"/>
    <w:basedOn w:val="1"/>
    <w:next w:val="1"/>
    <w:link w:val="43"/>
    <w:qFormat/>
    <w:uiPriority w:val="99"/>
    <w:pPr>
      <w:keepNext/>
      <w:keepLines/>
      <w:widowControl w:val="0"/>
      <w:spacing w:before="340" w:after="330" w:line="576" w:lineRule="auto"/>
      <w:jc w:val="both"/>
      <w:outlineLvl w:val="0"/>
    </w:pPr>
    <w:rPr>
      <w:rFonts w:ascii="仿宋_GB2312" w:eastAsia="仿宋_GB2312" w:cs="Times New Roman"/>
      <w:b/>
      <w:color w:val="000000"/>
      <w:kern w:val="44"/>
      <w:sz w:val="44"/>
      <w:szCs w:val="20"/>
    </w:rPr>
  </w:style>
  <w:style w:type="paragraph" w:styleId="3">
    <w:name w:val="heading 2"/>
    <w:basedOn w:val="1"/>
    <w:next w:val="1"/>
    <w:link w:val="44"/>
    <w:qFormat/>
    <w:uiPriority w:val="99"/>
    <w:pPr>
      <w:keepNext/>
      <w:keepLines/>
      <w:widowControl w:val="0"/>
      <w:spacing w:before="260" w:after="260"/>
      <w:jc w:val="center"/>
      <w:outlineLvl w:val="1"/>
    </w:pPr>
    <w:rPr>
      <w:rFonts w:eastAsia="华文中宋" w:cs="Times New Roman"/>
      <w:b/>
      <w:bCs/>
      <w:szCs w:val="44"/>
    </w:rPr>
  </w:style>
  <w:style w:type="paragraph" w:styleId="4">
    <w:name w:val="heading 3"/>
    <w:basedOn w:val="1"/>
    <w:next w:val="1"/>
    <w:link w:val="45"/>
    <w:qFormat/>
    <w:uiPriority w:val="99"/>
    <w:pPr>
      <w:keepNext/>
      <w:keepLines/>
      <w:widowControl w:val="0"/>
      <w:spacing w:before="260" w:after="260"/>
      <w:ind w:firstLine="200" w:firstLineChars="200"/>
      <w:jc w:val="center"/>
      <w:outlineLvl w:val="2"/>
    </w:pPr>
    <w:rPr>
      <w:rFonts w:ascii="Calibri" w:hAnsi="Calibri" w:eastAsia="黑体" w:cs="Times New Roman"/>
      <w:bCs/>
      <w:kern w:val="2"/>
      <w:szCs w:val="32"/>
    </w:rPr>
  </w:style>
  <w:style w:type="paragraph" w:styleId="5">
    <w:name w:val="heading 4"/>
    <w:basedOn w:val="4"/>
    <w:next w:val="1"/>
    <w:link w:val="46"/>
    <w:qFormat/>
    <w:uiPriority w:val="99"/>
    <w:pPr>
      <w:spacing w:before="280" w:after="290"/>
      <w:jc w:val="left"/>
      <w:outlineLvl w:val="3"/>
    </w:pPr>
    <w:rPr>
      <w:rFonts w:ascii="Cambria" w:hAnsi="Cambria" w:eastAsia="仿宋_GB2312"/>
      <w:b/>
      <w:szCs w:val="28"/>
    </w:rPr>
  </w:style>
  <w:style w:type="paragraph" w:styleId="6">
    <w:name w:val="heading 5"/>
    <w:basedOn w:val="1"/>
    <w:next w:val="1"/>
    <w:link w:val="47"/>
    <w:qFormat/>
    <w:uiPriority w:val="99"/>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7">
    <w:name w:val="heading 6"/>
    <w:basedOn w:val="1"/>
    <w:next w:val="1"/>
    <w:link w:val="48"/>
    <w:qFormat/>
    <w:uiPriority w:val="99"/>
    <w:pPr>
      <w:keepNext/>
      <w:keepLines/>
      <w:widowControl w:val="0"/>
      <w:spacing w:before="240" w:after="64" w:line="319" w:lineRule="auto"/>
      <w:ind w:left="1276"/>
      <w:jc w:val="both"/>
      <w:outlineLvl w:val="5"/>
    </w:pPr>
    <w:rPr>
      <w:rFonts w:ascii="Arial" w:hAnsi="Arial" w:eastAsia="仿宋_GB2312" w:cs="Times New Roman"/>
      <w:b/>
      <w:bCs/>
      <w:color w:val="000000"/>
      <w:kern w:val="16"/>
      <w:szCs w:val="30"/>
    </w:rPr>
  </w:style>
  <w:style w:type="paragraph" w:styleId="8">
    <w:name w:val="heading 7"/>
    <w:basedOn w:val="1"/>
    <w:next w:val="1"/>
    <w:link w:val="49"/>
    <w:qFormat/>
    <w:uiPriority w:val="99"/>
    <w:pPr>
      <w:keepNext/>
      <w:keepLines/>
      <w:widowControl w:val="0"/>
      <w:spacing w:before="240" w:after="64" w:line="319" w:lineRule="auto"/>
      <w:ind w:left="1276"/>
      <w:jc w:val="both"/>
      <w:outlineLvl w:val="6"/>
    </w:pPr>
    <w:rPr>
      <w:rFonts w:ascii="仿宋_GB2312" w:eastAsia="仿宋_GB2312" w:cs="Times New Roman"/>
      <w:b/>
      <w:bCs/>
      <w:color w:val="000000"/>
      <w:kern w:val="16"/>
      <w:szCs w:val="30"/>
    </w:rPr>
  </w:style>
  <w:style w:type="paragraph" w:styleId="9">
    <w:name w:val="heading 8"/>
    <w:basedOn w:val="1"/>
    <w:next w:val="1"/>
    <w:link w:val="50"/>
    <w:qFormat/>
    <w:uiPriority w:val="99"/>
    <w:pPr>
      <w:keepNext/>
      <w:keepLines/>
      <w:widowControl w:val="0"/>
      <w:spacing w:before="240" w:after="64" w:line="320" w:lineRule="auto"/>
      <w:jc w:val="both"/>
      <w:outlineLvl w:val="7"/>
    </w:pPr>
    <w:rPr>
      <w:rFonts w:ascii="Cambria" w:hAnsi="Cambria" w:cs="Times New Roman"/>
      <w:kern w:val="2"/>
    </w:rPr>
  </w:style>
  <w:style w:type="paragraph" w:styleId="10">
    <w:name w:val="heading 9"/>
    <w:basedOn w:val="1"/>
    <w:next w:val="1"/>
    <w:link w:val="51"/>
    <w:qFormat/>
    <w:uiPriority w:val="99"/>
    <w:pPr>
      <w:overflowPunct w:val="0"/>
      <w:autoSpaceDE w:val="0"/>
      <w:autoSpaceDN w:val="0"/>
      <w:adjustRightInd w:val="0"/>
      <w:spacing w:before="240" w:after="60" w:line="360" w:lineRule="auto"/>
      <w:ind w:left="1276"/>
      <w:jc w:val="both"/>
      <w:textAlignment w:val="baseline"/>
      <w:outlineLvl w:val="8"/>
    </w:pPr>
    <w:rPr>
      <w:rFonts w:ascii="Arial" w:hAnsi="Arial" w:eastAsia="仿宋_GB2312" w:cs="Times New Roman"/>
      <w:i/>
      <w:iCs/>
      <w:color w:val="000000"/>
      <w:sz w:val="18"/>
      <w:szCs w:val="1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440"/>
    </w:pPr>
    <w:rPr>
      <w:rFonts w:asciiTheme="minorHAnsi" w:hAnsiTheme="minorHAnsi" w:cstheme="minorHAnsi"/>
      <w:sz w:val="18"/>
      <w:szCs w:val="18"/>
    </w:rPr>
  </w:style>
  <w:style w:type="paragraph" w:styleId="12">
    <w:name w:val="Document Map"/>
    <w:basedOn w:val="1"/>
    <w:link w:val="106"/>
    <w:semiHidden/>
    <w:qFormat/>
    <w:uiPriority w:val="99"/>
    <w:pPr>
      <w:widowControl w:val="0"/>
      <w:jc w:val="both"/>
    </w:pPr>
    <w:rPr>
      <w:rFonts w:hAnsi="Calibri" w:cs="Times New Roman"/>
      <w:kern w:val="2"/>
      <w:sz w:val="18"/>
      <w:szCs w:val="20"/>
    </w:rPr>
  </w:style>
  <w:style w:type="paragraph" w:styleId="13">
    <w:name w:val="annotation text"/>
    <w:basedOn w:val="1"/>
    <w:link w:val="126"/>
    <w:semiHidden/>
    <w:qFormat/>
    <w:uiPriority w:val="99"/>
    <w:pPr>
      <w:widowControl w:val="0"/>
    </w:pPr>
    <w:rPr>
      <w:rFonts w:ascii="仿宋_GB2312" w:eastAsia="仿宋_GB2312" w:cs="Times New Roman"/>
      <w:color w:val="000000"/>
      <w:kern w:val="16"/>
      <w:szCs w:val="30"/>
    </w:rPr>
  </w:style>
  <w:style w:type="paragraph" w:styleId="14">
    <w:name w:val="Body Text"/>
    <w:basedOn w:val="1"/>
    <w:qFormat/>
    <w:uiPriority w:val="1"/>
    <w:pPr>
      <w:spacing w:before="61"/>
      <w:ind w:left="117"/>
    </w:pPr>
    <w:rPr>
      <w:szCs w:val="30"/>
    </w:rPr>
  </w:style>
  <w:style w:type="paragraph" w:styleId="15">
    <w:name w:val="Body Text Indent"/>
    <w:basedOn w:val="1"/>
    <w:link w:val="125"/>
    <w:qFormat/>
    <w:uiPriority w:val="99"/>
    <w:pPr>
      <w:widowControl w:val="0"/>
      <w:ind w:firstLine="600" w:firstLineChars="200"/>
      <w:jc w:val="both"/>
    </w:pPr>
    <w:rPr>
      <w:rFonts w:ascii="仿宋_GB2312" w:hAnsi="Calibri" w:eastAsia="仿宋_GB2312" w:cs="Times New Roman"/>
      <w:szCs w:val="20"/>
    </w:rPr>
  </w:style>
  <w:style w:type="paragraph" w:styleId="16">
    <w:name w:val="toc 5"/>
    <w:basedOn w:val="1"/>
    <w:next w:val="1"/>
    <w:qFormat/>
    <w:uiPriority w:val="99"/>
    <w:pPr>
      <w:ind w:left="960"/>
    </w:pPr>
    <w:rPr>
      <w:rFonts w:asciiTheme="minorHAnsi" w:hAnsiTheme="minorHAnsi" w:cstheme="minorHAnsi"/>
      <w:sz w:val="18"/>
      <w:szCs w:val="18"/>
    </w:rPr>
  </w:style>
  <w:style w:type="paragraph" w:styleId="17">
    <w:name w:val="toc 3"/>
    <w:basedOn w:val="1"/>
    <w:next w:val="1"/>
    <w:link w:val="111"/>
    <w:qFormat/>
    <w:uiPriority w:val="39"/>
    <w:pPr>
      <w:ind w:left="960" w:leftChars="100" w:right="100" w:rightChars="100"/>
    </w:pPr>
    <w:rPr>
      <w:rFonts w:asciiTheme="minorHAnsi" w:hAnsiTheme="minorHAnsi" w:cstheme="minorHAnsi"/>
      <w:i/>
      <w:iCs/>
      <w:sz w:val="20"/>
      <w:szCs w:val="20"/>
    </w:rPr>
  </w:style>
  <w:style w:type="paragraph" w:styleId="18">
    <w:name w:val="toc 8"/>
    <w:basedOn w:val="1"/>
    <w:next w:val="1"/>
    <w:qFormat/>
    <w:uiPriority w:val="99"/>
    <w:pPr>
      <w:ind w:left="1680"/>
    </w:pPr>
    <w:rPr>
      <w:rFonts w:asciiTheme="minorHAnsi" w:hAnsiTheme="minorHAnsi" w:cstheme="minorHAnsi"/>
      <w:sz w:val="18"/>
      <w:szCs w:val="18"/>
    </w:r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102"/>
    <w:semiHidden/>
    <w:qFormat/>
    <w:uiPriority w:val="99"/>
    <w:pPr>
      <w:widowControl w:val="0"/>
      <w:jc w:val="both"/>
    </w:pPr>
    <w:rPr>
      <w:rFonts w:ascii="Calibri" w:hAnsi="Calibri" w:cs="Times New Roman"/>
      <w:kern w:val="2"/>
      <w:sz w:val="18"/>
      <w:szCs w:val="20"/>
    </w:rPr>
  </w:style>
  <w:style w:type="paragraph" w:styleId="21">
    <w:name w:val="footer"/>
    <w:basedOn w:val="1"/>
    <w:link w:val="75"/>
    <w:qFormat/>
    <w:uiPriority w:val="99"/>
    <w:pPr>
      <w:tabs>
        <w:tab w:val="center" w:pos="4153"/>
        <w:tab w:val="right" w:pos="8306"/>
      </w:tabs>
      <w:snapToGrid w:val="0"/>
    </w:pPr>
    <w:rPr>
      <w:rFonts w:cs="Times New Roman"/>
      <w:sz w:val="18"/>
      <w:szCs w:val="18"/>
    </w:rPr>
  </w:style>
  <w:style w:type="paragraph" w:styleId="22">
    <w:name w:val="toc 1"/>
    <w:basedOn w:val="17"/>
    <w:next w:val="1"/>
    <w:link w:val="112"/>
    <w:qFormat/>
    <w:uiPriority w:val="39"/>
    <w:pPr>
      <w:spacing w:before="120" w:after="120"/>
      <w:ind w:left="0"/>
    </w:pPr>
    <w:rPr>
      <w:b/>
      <w:bCs/>
      <w:i w:val="0"/>
      <w:iCs w:val="0"/>
      <w:caps/>
    </w:rPr>
  </w:style>
  <w:style w:type="paragraph" w:styleId="23">
    <w:name w:val="toc 4"/>
    <w:basedOn w:val="1"/>
    <w:next w:val="1"/>
    <w:qFormat/>
    <w:uiPriority w:val="39"/>
    <w:pPr>
      <w:ind w:left="720"/>
    </w:pPr>
    <w:rPr>
      <w:rFonts w:asciiTheme="minorHAnsi" w:hAnsiTheme="minorHAnsi" w:cstheme="minorHAnsi"/>
      <w:sz w:val="18"/>
      <w:szCs w:val="18"/>
    </w:rPr>
  </w:style>
  <w:style w:type="paragraph" w:styleId="24">
    <w:name w:val="Subtitle"/>
    <w:basedOn w:val="1"/>
    <w:next w:val="1"/>
    <w:link w:val="108"/>
    <w:qFormat/>
    <w:uiPriority w:val="99"/>
    <w:pPr>
      <w:widowControl w:val="0"/>
      <w:spacing w:before="240" w:after="60" w:line="312" w:lineRule="auto"/>
      <w:jc w:val="center"/>
      <w:outlineLvl w:val="1"/>
    </w:pPr>
    <w:rPr>
      <w:rFonts w:ascii="Cambria" w:hAnsi="Cambria" w:cs="Times New Roman"/>
      <w:b/>
      <w:bCs/>
      <w:kern w:val="28"/>
      <w:szCs w:val="32"/>
    </w:rPr>
  </w:style>
  <w:style w:type="paragraph" w:styleId="25">
    <w:name w:val="footnote text"/>
    <w:basedOn w:val="1"/>
    <w:link w:val="104"/>
    <w:semiHidden/>
    <w:qFormat/>
    <w:uiPriority w:val="99"/>
    <w:pPr>
      <w:widowControl w:val="0"/>
      <w:snapToGrid w:val="0"/>
    </w:pPr>
    <w:rPr>
      <w:rFonts w:ascii="Calibri" w:hAnsi="Calibri" w:cs="Times New Roman"/>
      <w:kern w:val="2"/>
      <w:sz w:val="18"/>
      <w:szCs w:val="20"/>
    </w:rPr>
  </w:style>
  <w:style w:type="paragraph" w:styleId="26">
    <w:name w:val="toc 6"/>
    <w:basedOn w:val="1"/>
    <w:next w:val="1"/>
    <w:qFormat/>
    <w:uiPriority w:val="99"/>
    <w:pPr>
      <w:ind w:left="1200"/>
    </w:pPr>
    <w:rPr>
      <w:rFonts w:asciiTheme="minorHAnsi" w:hAnsiTheme="minorHAnsi" w:cstheme="minorHAnsi"/>
      <w:sz w:val="18"/>
      <w:szCs w:val="18"/>
    </w:rPr>
  </w:style>
  <w:style w:type="paragraph" w:styleId="27">
    <w:name w:val="toc 2"/>
    <w:basedOn w:val="22"/>
    <w:next w:val="1"/>
    <w:link w:val="113"/>
    <w:qFormat/>
    <w:uiPriority w:val="39"/>
    <w:pPr>
      <w:spacing w:before="0" w:after="0"/>
      <w:ind w:left="240"/>
    </w:pPr>
    <w:rPr>
      <w:b w:val="0"/>
      <w:bCs w:val="0"/>
      <w:caps w:val="0"/>
      <w:smallCaps/>
    </w:rPr>
  </w:style>
  <w:style w:type="paragraph" w:styleId="28">
    <w:name w:val="toc 9"/>
    <w:basedOn w:val="1"/>
    <w:next w:val="1"/>
    <w:qFormat/>
    <w:uiPriority w:val="99"/>
    <w:pPr>
      <w:ind w:left="1920"/>
    </w:pPr>
    <w:rPr>
      <w:rFonts w:asciiTheme="minorHAnsi" w:hAnsiTheme="minorHAnsi" w:cstheme="minorHAnsi"/>
      <w:sz w:val="18"/>
      <w:szCs w:val="18"/>
    </w:rPr>
  </w:style>
  <w:style w:type="paragraph" w:styleId="29">
    <w:name w:val="HTML Preformatted"/>
    <w:basedOn w:val="1"/>
    <w:link w:val="139"/>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30">
    <w:name w:val="Normal (Web)"/>
    <w:basedOn w:val="1"/>
    <w:qFormat/>
    <w:uiPriority w:val="99"/>
    <w:pPr>
      <w:spacing w:before="100" w:beforeAutospacing="1" w:after="100" w:afterAutospacing="1"/>
    </w:pPr>
  </w:style>
  <w:style w:type="paragraph" w:styleId="31">
    <w:name w:val="Title"/>
    <w:basedOn w:val="1"/>
    <w:next w:val="1"/>
    <w:link w:val="107"/>
    <w:qFormat/>
    <w:uiPriority w:val="99"/>
    <w:pPr>
      <w:widowControl w:val="0"/>
      <w:spacing w:before="240" w:after="60"/>
      <w:jc w:val="center"/>
      <w:outlineLvl w:val="0"/>
    </w:pPr>
    <w:rPr>
      <w:rFonts w:ascii="Cambria" w:hAnsi="Cambria" w:cs="Times New Roman"/>
      <w:b/>
      <w:bCs/>
      <w:kern w:val="2"/>
      <w:sz w:val="32"/>
      <w:szCs w:val="32"/>
    </w:rPr>
  </w:style>
  <w:style w:type="paragraph" w:styleId="32">
    <w:name w:val="annotation subject"/>
    <w:basedOn w:val="13"/>
    <w:next w:val="13"/>
    <w:link w:val="127"/>
    <w:semiHidden/>
    <w:qFormat/>
    <w:uiPriority w:val="99"/>
    <w:rPr>
      <w:b/>
      <w:bCs/>
    </w:rPr>
  </w:style>
  <w:style w:type="table" w:styleId="34">
    <w:name w:val="Table Grid"/>
    <w:basedOn w:val="3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locked/>
    <w:uiPriority w:val="0"/>
    <w:rPr>
      <w:b/>
      <w:bCs/>
    </w:rPr>
  </w:style>
  <w:style w:type="character" w:styleId="37">
    <w:name w:val="page number"/>
    <w:basedOn w:val="35"/>
    <w:qFormat/>
    <w:uiPriority w:val="99"/>
    <w:rPr>
      <w:rFonts w:eastAsia="宋体" w:cs="Times New Roman"/>
      <w:kern w:val="2"/>
      <w:sz w:val="24"/>
      <w:lang w:val="en-US" w:eastAsia="zh-CN"/>
    </w:rPr>
  </w:style>
  <w:style w:type="character" w:styleId="38">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9">
    <w:name w:val="Emphasis"/>
    <w:basedOn w:val="35"/>
    <w:qFormat/>
    <w:uiPriority w:val="99"/>
    <w:rPr>
      <w:rFonts w:cs="Times New Roman"/>
      <w:i/>
    </w:rPr>
  </w:style>
  <w:style w:type="character" w:styleId="40">
    <w:name w:val="Hyperlink"/>
    <w:basedOn w:val="35"/>
    <w:qFormat/>
    <w:uiPriority w:val="99"/>
    <w:rPr>
      <w:rFonts w:cs="Times New Roman"/>
      <w:color w:val="0000FF"/>
      <w:u w:val="single"/>
    </w:rPr>
  </w:style>
  <w:style w:type="character" w:styleId="41">
    <w:name w:val="annotation reference"/>
    <w:basedOn w:val="35"/>
    <w:semiHidden/>
    <w:qFormat/>
    <w:uiPriority w:val="99"/>
    <w:rPr>
      <w:rFonts w:eastAsia="宋体" w:cs="Times New Roman"/>
      <w:kern w:val="2"/>
      <w:sz w:val="21"/>
      <w:lang w:val="en-US" w:eastAsia="zh-CN"/>
    </w:rPr>
  </w:style>
  <w:style w:type="character" w:styleId="42">
    <w:name w:val="footnote reference"/>
    <w:basedOn w:val="35"/>
    <w:semiHidden/>
    <w:qFormat/>
    <w:uiPriority w:val="99"/>
    <w:rPr>
      <w:rFonts w:eastAsia="宋体" w:cs="Times New Roman"/>
      <w:kern w:val="2"/>
      <w:sz w:val="24"/>
      <w:vertAlign w:val="superscript"/>
      <w:lang w:val="en-US" w:eastAsia="zh-CN"/>
    </w:rPr>
  </w:style>
  <w:style w:type="character" w:customStyle="1" w:styleId="43">
    <w:name w:val="标题 1 字符"/>
    <w:basedOn w:val="35"/>
    <w:link w:val="2"/>
    <w:qFormat/>
    <w:locked/>
    <w:uiPriority w:val="99"/>
    <w:rPr>
      <w:rFonts w:ascii="仿宋_GB2312" w:hAnsi="宋体" w:eastAsia="仿宋_GB2312"/>
      <w:b/>
      <w:color w:val="000000"/>
      <w:kern w:val="44"/>
      <w:sz w:val="44"/>
    </w:rPr>
  </w:style>
  <w:style w:type="character" w:customStyle="1" w:styleId="44">
    <w:name w:val="标题 2 字符"/>
    <w:basedOn w:val="35"/>
    <w:link w:val="3"/>
    <w:qFormat/>
    <w:locked/>
    <w:uiPriority w:val="99"/>
    <w:rPr>
      <w:rFonts w:ascii="宋体" w:hAnsi="宋体" w:eastAsia="华文中宋"/>
      <w:b/>
      <w:bCs/>
      <w:sz w:val="30"/>
      <w:szCs w:val="44"/>
    </w:rPr>
  </w:style>
  <w:style w:type="character" w:customStyle="1" w:styleId="45">
    <w:name w:val="标题 3 字符"/>
    <w:basedOn w:val="35"/>
    <w:link w:val="4"/>
    <w:qFormat/>
    <w:locked/>
    <w:uiPriority w:val="99"/>
    <w:rPr>
      <w:rFonts w:ascii="Calibri" w:hAnsi="Calibri" w:eastAsia="黑体"/>
      <w:kern w:val="2"/>
      <w:sz w:val="32"/>
    </w:rPr>
  </w:style>
  <w:style w:type="character" w:customStyle="1" w:styleId="46">
    <w:name w:val="标题 4 字符"/>
    <w:basedOn w:val="35"/>
    <w:link w:val="5"/>
    <w:qFormat/>
    <w:locked/>
    <w:uiPriority w:val="99"/>
    <w:rPr>
      <w:rFonts w:ascii="Cambria" w:hAnsi="Cambria" w:eastAsia="仿宋_GB2312"/>
      <w:b/>
      <w:kern w:val="2"/>
      <w:sz w:val="28"/>
    </w:rPr>
  </w:style>
  <w:style w:type="character" w:customStyle="1" w:styleId="47">
    <w:name w:val="标题 5 字符"/>
    <w:basedOn w:val="35"/>
    <w:link w:val="6"/>
    <w:qFormat/>
    <w:locked/>
    <w:uiPriority w:val="99"/>
    <w:rPr>
      <w:rFonts w:ascii="Calibri" w:hAnsi="Calibri"/>
      <w:b/>
      <w:kern w:val="2"/>
      <w:sz w:val="28"/>
    </w:rPr>
  </w:style>
  <w:style w:type="character" w:customStyle="1" w:styleId="48">
    <w:name w:val="标题 6 字符"/>
    <w:basedOn w:val="35"/>
    <w:link w:val="7"/>
    <w:qFormat/>
    <w:locked/>
    <w:uiPriority w:val="99"/>
    <w:rPr>
      <w:rFonts w:ascii="Arial" w:hAnsi="Arial" w:eastAsia="仿宋_GB2312"/>
      <w:b/>
      <w:color w:val="000000"/>
      <w:kern w:val="16"/>
      <w:sz w:val="30"/>
    </w:rPr>
  </w:style>
  <w:style w:type="character" w:customStyle="1" w:styleId="49">
    <w:name w:val="标题 7 字符"/>
    <w:basedOn w:val="35"/>
    <w:link w:val="8"/>
    <w:qFormat/>
    <w:locked/>
    <w:uiPriority w:val="99"/>
    <w:rPr>
      <w:rFonts w:ascii="仿宋_GB2312" w:hAnsi="宋体" w:eastAsia="仿宋_GB2312"/>
      <w:b/>
      <w:color w:val="000000"/>
      <w:kern w:val="16"/>
      <w:sz w:val="30"/>
    </w:rPr>
  </w:style>
  <w:style w:type="character" w:customStyle="1" w:styleId="50">
    <w:name w:val="标题 8 字符"/>
    <w:basedOn w:val="35"/>
    <w:link w:val="9"/>
    <w:qFormat/>
    <w:locked/>
    <w:uiPriority w:val="99"/>
    <w:rPr>
      <w:rFonts w:ascii="Cambria" w:hAnsi="Cambria" w:eastAsia="宋体"/>
      <w:kern w:val="2"/>
      <w:sz w:val="24"/>
    </w:rPr>
  </w:style>
  <w:style w:type="character" w:customStyle="1" w:styleId="51">
    <w:name w:val="标题 9 字符"/>
    <w:basedOn w:val="35"/>
    <w:link w:val="10"/>
    <w:qFormat/>
    <w:locked/>
    <w:uiPriority w:val="99"/>
    <w:rPr>
      <w:rFonts w:ascii="Arial" w:hAnsi="Arial" w:eastAsia="仿宋_GB2312"/>
      <w:i/>
      <w:color w:val="000000"/>
      <w:sz w:val="18"/>
    </w:rPr>
  </w:style>
  <w:style w:type="paragraph" w:customStyle="1" w:styleId="52">
    <w:name w:val="font52478"/>
    <w:basedOn w:val="1"/>
    <w:qFormat/>
    <w:uiPriority w:val="99"/>
    <w:pPr>
      <w:spacing w:before="100" w:beforeAutospacing="1" w:after="100" w:afterAutospacing="1"/>
    </w:pPr>
    <w:rPr>
      <w:sz w:val="18"/>
      <w:szCs w:val="18"/>
    </w:rPr>
  </w:style>
  <w:style w:type="paragraph" w:customStyle="1" w:styleId="53">
    <w:name w:val="xl85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 w:val="20"/>
      <w:szCs w:val="20"/>
    </w:rPr>
  </w:style>
  <w:style w:type="paragraph" w:customStyle="1" w:styleId="54">
    <w:name w:val="xl86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55">
    <w:name w:val="xl872478"/>
    <w:basedOn w:val="1"/>
    <w:qFormat/>
    <w:uiPriority w:val="99"/>
    <w:pPr>
      <w:spacing w:before="100" w:beforeAutospacing="1" w:after="100" w:afterAutospacing="1"/>
      <w:textAlignment w:val="center"/>
    </w:pPr>
    <w:rPr>
      <w:color w:val="000000"/>
      <w:szCs w:val="22"/>
    </w:rPr>
  </w:style>
  <w:style w:type="paragraph" w:customStyle="1" w:styleId="56">
    <w:name w:val="xl88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57">
    <w:name w:val="xl892478"/>
    <w:basedOn w:val="1"/>
    <w:qFormat/>
    <w:uiPriority w:val="99"/>
    <w:pPr>
      <w:spacing w:before="100" w:beforeAutospacing="1" w:after="100" w:afterAutospacing="1"/>
      <w:textAlignment w:val="center"/>
    </w:pPr>
    <w:rPr>
      <w:color w:val="000000"/>
      <w:sz w:val="20"/>
      <w:szCs w:val="20"/>
    </w:rPr>
  </w:style>
  <w:style w:type="paragraph" w:customStyle="1" w:styleId="58">
    <w:name w:val="xl902478"/>
    <w:basedOn w:val="1"/>
    <w:qFormat/>
    <w:uiPriority w:val="99"/>
    <w:pPr>
      <w:spacing w:before="100" w:beforeAutospacing="1" w:after="100" w:afterAutospacing="1"/>
      <w:textAlignment w:val="center"/>
    </w:pPr>
    <w:rPr>
      <w:b/>
      <w:bCs/>
      <w:color w:val="000000"/>
      <w:sz w:val="20"/>
      <w:szCs w:val="20"/>
    </w:rPr>
  </w:style>
  <w:style w:type="paragraph" w:customStyle="1" w:styleId="59">
    <w:name w:val="xl912478"/>
    <w:basedOn w:val="1"/>
    <w:qFormat/>
    <w:uiPriority w:val="99"/>
    <w:pPr>
      <w:pBdr>
        <w:bottom w:val="single" w:color="auto" w:sz="4" w:space="0"/>
      </w:pBdr>
      <w:spacing w:before="100" w:beforeAutospacing="1" w:after="100" w:afterAutospacing="1"/>
      <w:jc w:val="center"/>
      <w:textAlignment w:val="center"/>
    </w:pPr>
    <w:rPr>
      <w:b/>
      <w:bCs/>
      <w:sz w:val="32"/>
      <w:szCs w:val="32"/>
    </w:rPr>
  </w:style>
  <w:style w:type="paragraph" w:customStyle="1" w:styleId="60">
    <w:name w:val="xl922478"/>
    <w:basedOn w:val="1"/>
    <w:qFormat/>
    <w:uiPriority w:val="99"/>
    <w:pPr>
      <w:spacing w:before="100" w:beforeAutospacing="1" w:after="100" w:afterAutospacing="1"/>
      <w:textAlignment w:val="center"/>
    </w:pPr>
    <w:rPr>
      <w:rFonts w:ascii="黑体" w:hAnsi="黑体" w:eastAsia="黑体"/>
      <w:color w:val="000000"/>
      <w:szCs w:val="22"/>
    </w:rPr>
  </w:style>
  <w:style w:type="paragraph" w:customStyle="1" w:styleId="61">
    <w:name w:val="xl93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Cs w:val="22"/>
    </w:rPr>
  </w:style>
  <w:style w:type="paragraph" w:customStyle="1" w:styleId="62">
    <w:name w:val="xl94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color w:val="000000"/>
      <w:szCs w:val="22"/>
    </w:rPr>
  </w:style>
  <w:style w:type="paragraph" w:customStyle="1" w:styleId="63">
    <w:name w:val="xl952478"/>
    <w:basedOn w:val="1"/>
    <w:qFormat/>
    <w:uiPriority w:val="99"/>
    <w:pPr>
      <w:pBdr>
        <w:top w:val="single" w:color="auto" w:sz="4" w:space="1"/>
        <w:left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64">
    <w:name w:val="xl962478"/>
    <w:basedOn w:val="1"/>
    <w:qFormat/>
    <w:uiPriority w:val="99"/>
    <w:pPr>
      <w:pBdr>
        <w:top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65">
    <w:name w:val="xl972478"/>
    <w:basedOn w:val="1"/>
    <w:qFormat/>
    <w:uiPriority w:val="99"/>
    <w:pPr>
      <w:pBdr>
        <w:top w:val="single" w:color="auto" w:sz="4" w:space="1"/>
        <w:bottom w:val="single" w:color="auto" w:sz="4" w:space="0"/>
        <w:right w:val="single" w:color="auto" w:sz="4" w:space="1"/>
      </w:pBdr>
      <w:spacing w:before="100" w:beforeAutospacing="1" w:after="100" w:afterAutospacing="1"/>
      <w:jc w:val="center"/>
      <w:textAlignment w:val="center"/>
    </w:pPr>
    <w:rPr>
      <w:b/>
      <w:bCs/>
      <w:sz w:val="20"/>
      <w:szCs w:val="20"/>
    </w:rPr>
  </w:style>
  <w:style w:type="paragraph" w:customStyle="1" w:styleId="66">
    <w:name w:val="xl98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67">
    <w:name w:val="xl99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68">
    <w:name w:val="xl100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69">
    <w:name w:val="xl101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70">
    <w:name w:val="xl102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71">
    <w:name w:val="xl1032478"/>
    <w:basedOn w:val="1"/>
    <w:qFormat/>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72">
    <w:name w:val="xl1042478"/>
    <w:basedOn w:val="1"/>
    <w:qFormat/>
    <w:uiPriority w:val="99"/>
    <w:pPr>
      <w:pBdr>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73">
    <w:name w:val="xl105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Arial" w:hAnsi="Arial" w:cs="Arial"/>
      <w:color w:val="000000"/>
      <w:sz w:val="20"/>
      <w:szCs w:val="20"/>
    </w:rPr>
  </w:style>
  <w:style w:type="paragraph" w:customStyle="1" w:styleId="74">
    <w:name w:val="xl106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character" w:customStyle="1" w:styleId="75">
    <w:name w:val="页脚 字符"/>
    <w:basedOn w:val="35"/>
    <w:link w:val="21"/>
    <w:qFormat/>
    <w:locked/>
    <w:uiPriority w:val="99"/>
    <w:rPr>
      <w:rFonts w:ascii="宋体" w:hAnsi="宋体" w:eastAsia="宋体"/>
      <w:sz w:val="18"/>
    </w:rPr>
  </w:style>
  <w:style w:type="paragraph" w:customStyle="1" w:styleId="76">
    <w:name w:val="列表段落1"/>
    <w:basedOn w:val="1"/>
    <w:qFormat/>
    <w:uiPriority w:val="99"/>
    <w:pPr>
      <w:ind w:firstLine="420" w:firstLineChars="200"/>
    </w:pPr>
  </w:style>
  <w:style w:type="paragraph" w:customStyle="1" w:styleId="77">
    <w:name w:val="font56441"/>
    <w:basedOn w:val="1"/>
    <w:qFormat/>
    <w:uiPriority w:val="99"/>
    <w:pPr>
      <w:spacing w:before="100" w:beforeAutospacing="1" w:after="100" w:afterAutospacing="1"/>
    </w:pPr>
    <w:rPr>
      <w:sz w:val="18"/>
      <w:szCs w:val="18"/>
    </w:rPr>
  </w:style>
  <w:style w:type="paragraph" w:customStyle="1" w:styleId="78">
    <w:name w:val="font66441"/>
    <w:basedOn w:val="1"/>
    <w:qFormat/>
    <w:uiPriority w:val="99"/>
    <w:pPr>
      <w:spacing w:before="100" w:beforeAutospacing="1" w:after="100" w:afterAutospacing="1"/>
    </w:pPr>
    <w:rPr>
      <w:sz w:val="18"/>
      <w:szCs w:val="18"/>
    </w:rPr>
  </w:style>
  <w:style w:type="paragraph" w:customStyle="1" w:styleId="79">
    <w:name w:val="xl756441"/>
    <w:basedOn w:val="1"/>
    <w:qFormat/>
    <w:uiPriority w:val="99"/>
    <w:pPr>
      <w:shd w:val="clear" w:color="000000" w:fill="FFFFFF"/>
      <w:spacing w:before="100" w:beforeAutospacing="1" w:after="100" w:afterAutospacing="1"/>
      <w:textAlignment w:val="center"/>
    </w:pPr>
    <w:rPr>
      <w:color w:val="000000"/>
      <w:sz w:val="20"/>
      <w:szCs w:val="20"/>
    </w:rPr>
  </w:style>
  <w:style w:type="paragraph" w:customStyle="1" w:styleId="80">
    <w:name w:val="xl766441"/>
    <w:basedOn w:val="1"/>
    <w:qFormat/>
    <w:uiPriority w:val="99"/>
    <w:pPr>
      <w:shd w:val="clear" w:color="000000" w:fill="FFFFFF"/>
      <w:spacing w:before="100" w:beforeAutospacing="1" w:after="100" w:afterAutospacing="1"/>
      <w:textAlignment w:val="center"/>
    </w:pPr>
    <w:rPr>
      <w:b/>
      <w:bCs/>
      <w:color w:val="000000"/>
      <w:sz w:val="20"/>
      <w:szCs w:val="20"/>
    </w:rPr>
  </w:style>
  <w:style w:type="paragraph" w:customStyle="1" w:styleId="81">
    <w:name w:val="xl776441"/>
    <w:basedOn w:val="1"/>
    <w:qFormat/>
    <w:uiPriority w:val="99"/>
    <w:pPr>
      <w:shd w:val="clear" w:color="000000" w:fill="FFFFFF"/>
      <w:spacing w:before="100" w:beforeAutospacing="1" w:after="100" w:afterAutospacing="1"/>
      <w:textAlignment w:val="center"/>
    </w:pPr>
    <w:rPr>
      <w:color w:val="000000"/>
      <w:szCs w:val="22"/>
    </w:rPr>
  </w:style>
  <w:style w:type="paragraph" w:customStyle="1" w:styleId="82">
    <w:name w:val="xl786441"/>
    <w:basedOn w:val="1"/>
    <w:qFormat/>
    <w:uiPriority w:val="99"/>
    <w:pPr>
      <w:shd w:val="clear" w:color="000000" w:fill="FFFFFF"/>
      <w:spacing w:before="100" w:beforeAutospacing="1" w:after="100" w:afterAutospacing="1"/>
      <w:textAlignment w:val="center"/>
    </w:pPr>
    <w:rPr>
      <w:rFonts w:ascii="黑体" w:hAnsi="黑体" w:eastAsia="黑体"/>
      <w:color w:val="000000"/>
      <w:szCs w:val="22"/>
    </w:rPr>
  </w:style>
  <w:style w:type="paragraph" w:customStyle="1" w:styleId="83">
    <w:name w:val="xl796441"/>
    <w:basedOn w:val="1"/>
    <w:qFormat/>
    <w:uiPriority w:val="99"/>
    <w:pPr>
      <w:pBdr>
        <w:bottom w:val="single" w:color="auto" w:sz="4" w:space="0"/>
      </w:pBdr>
      <w:shd w:val="clear" w:color="000000" w:fill="FFFFFF"/>
      <w:spacing w:before="100" w:beforeAutospacing="1" w:after="100" w:afterAutospacing="1"/>
      <w:jc w:val="center"/>
      <w:textAlignment w:val="center"/>
    </w:pPr>
    <w:rPr>
      <w:rFonts w:ascii="黑体" w:hAnsi="黑体" w:eastAsia="黑体"/>
      <w:sz w:val="36"/>
      <w:szCs w:val="36"/>
    </w:rPr>
  </w:style>
  <w:style w:type="paragraph" w:customStyle="1" w:styleId="84">
    <w:name w:val="xl806441"/>
    <w:basedOn w:val="1"/>
    <w:qFormat/>
    <w:uiPriority w:val="99"/>
    <w:pPr>
      <w:spacing w:before="100" w:beforeAutospacing="1" w:after="100" w:afterAutospacing="1"/>
      <w:jc w:val="center"/>
      <w:textAlignment w:val="center"/>
    </w:pPr>
    <w:rPr>
      <w:sz w:val="28"/>
      <w:szCs w:val="28"/>
    </w:rPr>
  </w:style>
  <w:style w:type="paragraph" w:customStyle="1" w:styleId="85">
    <w:name w:val="xl816441"/>
    <w:basedOn w:val="1"/>
    <w:qFormat/>
    <w:uiPriority w:val="99"/>
    <w:pPr>
      <w:shd w:val="clear" w:color="000000" w:fill="FFFFFF"/>
      <w:spacing w:before="100" w:beforeAutospacing="1" w:after="100" w:afterAutospacing="1"/>
      <w:textAlignment w:val="center"/>
    </w:pPr>
    <w:rPr>
      <w:rFonts w:ascii="仿宋_GB2312" w:eastAsia="仿宋_GB2312"/>
      <w:color w:val="000000"/>
      <w:szCs w:val="22"/>
    </w:rPr>
  </w:style>
  <w:style w:type="paragraph" w:customStyle="1" w:styleId="86">
    <w:name w:val="xl826441"/>
    <w:basedOn w:val="1"/>
    <w:qFormat/>
    <w:uiPriority w:val="99"/>
    <w:pPr>
      <w:pBdr>
        <w:top w:val="single" w:color="auto" w:sz="4" w:space="1"/>
        <w:left w:val="single" w:color="auto" w:sz="4" w:space="1"/>
        <w:bottom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87">
    <w:name w:val="xl83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b/>
      <w:bCs/>
      <w:sz w:val="20"/>
      <w:szCs w:val="20"/>
    </w:rPr>
  </w:style>
  <w:style w:type="paragraph" w:customStyle="1" w:styleId="88">
    <w:name w:val="xl84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89">
    <w:name w:val="xl85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0">
    <w:name w:val="xl86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1">
    <w:name w:val="xl87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sz w:val="20"/>
      <w:szCs w:val="20"/>
    </w:rPr>
  </w:style>
  <w:style w:type="paragraph" w:customStyle="1" w:styleId="92">
    <w:name w:val="xl88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color w:val="000000"/>
      <w:sz w:val="20"/>
      <w:szCs w:val="20"/>
    </w:rPr>
  </w:style>
  <w:style w:type="paragraph" w:customStyle="1" w:styleId="93">
    <w:name w:val="xl89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4">
    <w:name w:val="xl906441"/>
    <w:basedOn w:val="1"/>
    <w:qFormat/>
    <w:uiPriority w:val="99"/>
    <w:pPr>
      <w:shd w:val="clear" w:color="000000" w:fill="FFFFFF"/>
      <w:spacing w:before="100" w:beforeAutospacing="1" w:after="100" w:afterAutospacing="1"/>
      <w:textAlignment w:val="center"/>
    </w:pPr>
    <w:rPr>
      <w:color w:val="000000"/>
      <w:szCs w:val="22"/>
    </w:rPr>
  </w:style>
  <w:style w:type="paragraph" w:customStyle="1" w:styleId="95">
    <w:name w:val="xl916441"/>
    <w:basedOn w:val="1"/>
    <w:qFormat/>
    <w:uiPriority w:val="99"/>
    <w:pPr>
      <w:shd w:val="clear" w:color="000000" w:fill="FFFFFF"/>
      <w:spacing w:before="100" w:beforeAutospacing="1" w:after="100" w:afterAutospacing="1"/>
      <w:textAlignment w:val="center"/>
    </w:pPr>
    <w:rPr>
      <w:sz w:val="20"/>
      <w:szCs w:val="20"/>
    </w:rPr>
  </w:style>
  <w:style w:type="paragraph" w:customStyle="1" w:styleId="96">
    <w:name w:val="xl926441"/>
    <w:basedOn w:val="1"/>
    <w:qFormat/>
    <w:uiPriority w:val="99"/>
    <w:pPr>
      <w:shd w:val="clear" w:color="000000" w:fill="FFFFFF"/>
      <w:spacing w:before="100" w:beforeAutospacing="1" w:after="100" w:afterAutospacing="1"/>
      <w:jc w:val="center"/>
      <w:textAlignment w:val="center"/>
    </w:pPr>
    <w:rPr>
      <w:rFonts w:ascii="黑体" w:hAnsi="黑体" w:eastAsia="黑体"/>
      <w:sz w:val="32"/>
      <w:szCs w:val="32"/>
    </w:rPr>
  </w:style>
  <w:style w:type="paragraph" w:customStyle="1" w:styleId="97">
    <w:name w:val="xl93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color w:val="000000"/>
      <w:sz w:val="20"/>
      <w:szCs w:val="20"/>
    </w:rPr>
  </w:style>
  <w:style w:type="paragraph" w:customStyle="1" w:styleId="98">
    <w:name w:val="xl946441"/>
    <w:basedOn w:val="1"/>
    <w:qFormat/>
    <w:uiPriority w:val="99"/>
    <w:pPr>
      <w:pBdr>
        <w:top w:val="single" w:color="auto" w:sz="4" w:space="1"/>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99">
    <w:name w:val="xl956441"/>
    <w:basedOn w:val="1"/>
    <w:qFormat/>
    <w:uiPriority w:val="99"/>
    <w:pPr>
      <w:pBdr>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100">
    <w:name w:val="xl966441"/>
    <w:basedOn w:val="1"/>
    <w:qFormat/>
    <w:uiPriority w:val="99"/>
    <w:pPr>
      <w:pBdr>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character" w:customStyle="1" w:styleId="101">
    <w:name w:val="批注框文本 Char"/>
    <w:qFormat/>
    <w:locked/>
    <w:uiPriority w:val="99"/>
    <w:rPr>
      <w:rFonts w:ascii="Calibri" w:hAnsi="Calibri"/>
      <w:kern w:val="2"/>
      <w:sz w:val="18"/>
    </w:rPr>
  </w:style>
  <w:style w:type="character" w:customStyle="1" w:styleId="102">
    <w:name w:val="批注框文本 字符"/>
    <w:basedOn w:val="35"/>
    <w:link w:val="20"/>
    <w:semiHidden/>
    <w:qFormat/>
    <w:uiPriority w:val="99"/>
    <w:rPr>
      <w:rFonts w:ascii="宋体" w:hAnsi="宋体" w:cs="宋体"/>
      <w:kern w:val="0"/>
      <w:sz w:val="0"/>
      <w:szCs w:val="0"/>
    </w:rPr>
  </w:style>
  <w:style w:type="character" w:customStyle="1" w:styleId="103">
    <w:name w:val="脚注文本 Char"/>
    <w:qFormat/>
    <w:locked/>
    <w:uiPriority w:val="99"/>
    <w:rPr>
      <w:rFonts w:ascii="Calibri" w:hAnsi="Calibri"/>
      <w:kern w:val="2"/>
      <w:sz w:val="18"/>
    </w:rPr>
  </w:style>
  <w:style w:type="character" w:customStyle="1" w:styleId="104">
    <w:name w:val="脚注文本 字符"/>
    <w:basedOn w:val="35"/>
    <w:link w:val="25"/>
    <w:semiHidden/>
    <w:qFormat/>
    <w:uiPriority w:val="99"/>
    <w:rPr>
      <w:rFonts w:ascii="宋体" w:hAnsi="宋体" w:cs="宋体"/>
      <w:kern w:val="0"/>
      <w:sz w:val="18"/>
      <w:szCs w:val="18"/>
    </w:rPr>
  </w:style>
  <w:style w:type="character" w:customStyle="1" w:styleId="105">
    <w:name w:val="文档结构图 Char"/>
    <w:qFormat/>
    <w:locked/>
    <w:uiPriority w:val="99"/>
    <w:rPr>
      <w:rFonts w:ascii="宋体" w:hAnsi="Calibri" w:eastAsia="宋体"/>
      <w:kern w:val="2"/>
      <w:sz w:val="18"/>
    </w:rPr>
  </w:style>
  <w:style w:type="character" w:customStyle="1" w:styleId="106">
    <w:name w:val="文档结构图 字符"/>
    <w:basedOn w:val="35"/>
    <w:link w:val="12"/>
    <w:semiHidden/>
    <w:qFormat/>
    <w:uiPriority w:val="99"/>
    <w:rPr>
      <w:rFonts w:cs="宋体"/>
      <w:kern w:val="0"/>
      <w:sz w:val="0"/>
      <w:szCs w:val="0"/>
    </w:rPr>
  </w:style>
  <w:style w:type="character" w:customStyle="1" w:styleId="107">
    <w:name w:val="标题 字符"/>
    <w:basedOn w:val="35"/>
    <w:link w:val="31"/>
    <w:qFormat/>
    <w:locked/>
    <w:uiPriority w:val="99"/>
    <w:rPr>
      <w:rFonts w:ascii="Cambria" w:hAnsi="Cambria" w:eastAsia="宋体"/>
      <w:b/>
      <w:kern w:val="2"/>
      <w:sz w:val="32"/>
    </w:rPr>
  </w:style>
  <w:style w:type="character" w:customStyle="1" w:styleId="108">
    <w:name w:val="副标题 字符"/>
    <w:basedOn w:val="35"/>
    <w:link w:val="24"/>
    <w:qFormat/>
    <w:locked/>
    <w:uiPriority w:val="99"/>
    <w:rPr>
      <w:rFonts w:ascii="Cambria" w:hAnsi="Cambria" w:eastAsia="宋体"/>
      <w:b/>
      <w:kern w:val="28"/>
      <w:sz w:val="32"/>
    </w:rPr>
  </w:style>
  <w:style w:type="paragraph" w:customStyle="1" w:styleId="109">
    <w:name w:val="无间隔1"/>
    <w:link w:val="110"/>
    <w:qFormat/>
    <w:uiPriority w:val="99"/>
    <w:pPr>
      <w:ind w:firstLine="200" w:firstLineChars="200"/>
    </w:pPr>
    <w:rPr>
      <w:rFonts w:ascii="Times New Roman" w:hAnsi="Times New Roman" w:eastAsia="仿宋_GB2312" w:cs="Times New Roman"/>
      <w:sz w:val="30"/>
      <w:szCs w:val="22"/>
      <w:lang w:val="en-US" w:eastAsia="zh-CN" w:bidi="ar-SA"/>
    </w:rPr>
  </w:style>
  <w:style w:type="character" w:customStyle="1" w:styleId="110">
    <w:name w:val="无间隔 字符"/>
    <w:link w:val="109"/>
    <w:qFormat/>
    <w:locked/>
    <w:uiPriority w:val="99"/>
    <w:rPr>
      <w:rFonts w:eastAsia="仿宋_GB2312"/>
      <w:sz w:val="30"/>
      <w:szCs w:val="22"/>
      <w:lang w:bidi="ar-SA"/>
    </w:rPr>
  </w:style>
  <w:style w:type="character" w:customStyle="1" w:styleId="111">
    <w:name w:val="TOC 3 字符"/>
    <w:link w:val="17"/>
    <w:qFormat/>
    <w:locked/>
    <w:uiPriority w:val="39"/>
    <w:rPr>
      <w:rFonts w:asciiTheme="minorHAnsi" w:hAnsiTheme="minorHAnsi" w:cstheme="minorHAnsi"/>
      <w:i/>
      <w:iCs/>
    </w:rPr>
  </w:style>
  <w:style w:type="character" w:customStyle="1" w:styleId="112">
    <w:name w:val="TOC 1 字符"/>
    <w:link w:val="22"/>
    <w:qFormat/>
    <w:locked/>
    <w:uiPriority w:val="39"/>
    <w:rPr>
      <w:rFonts w:eastAsia="宋体" w:cstheme="minorHAnsi"/>
      <w:b/>
      <w:bCs/>
      <w:i/>
      <w:iCs/>
      <w:caps/>
    </w:rPr>
  </w:style>
  <w:style w:type="character" w:customStyle="1" w:styleId="113">
    <w:name w:val="TOC 2 字符"/>
    <w:link w:val="27"/>
    <w:qFormat/>
    <w:locked/>
    <w:uiPriority w:val="39"/>
    <w:rPr>
      <w:rFonts w:eastAsia="宋体" w:cstheme="minorHAnsi"/>
      <w:i/>
      <w:iCs/>
      <w:smallCaps/>
    </w:rPr>
  </w:style>
  <w:style w:type="paragraph" w:customStyle="1" w:styleId="114">
    <w:name w:val="目录一"/>
    <w:basedOn w:val="27"/>
    <w:link w:val="115"/>
    <w:qFormat/>
    <w:uiPriority w:val="99"/>
    <w:rPr>
      <w:rFonts w:eastAsia="黑体"/>
      <w:b/>
      <w:iCs/>
      <w:caps/>
      <w:sz w:val="28"/>
    </w:rPr>
  </w:style>
  <w:style w:type="character" w:customStyle="1" w:styleId="115">
    <w:name w:val="目录一 Char"/>
    <w:link w:val="114"/>
    <w:qFormat/>
    <w:locked/>
    <w:uiPriority w:val="99"/>
    <w:rPr>
      <w:rFonts w:ascii="华文中宋" w:hAnsi="华文中宋" w:eastAsia="黑体"/>
      <w:b/>
      <w:caps/>
      <w:smallCaps/>
      <w:kern w:val="2"/>
      <w:sz w:val="28"/>
    </w:rPr>
  </w:style>
  <w:style w:type="paragraph" w:customStyle="1" w:styleId="116">
    <w:name w:val="目录1"/>
    <w:basedOn w:val="17"/>
    <w:link w:val="117"/>
    <w:qFormat/>
    <w:uiPriority w:val="99"/>
    <w:pPr>
      <w:spacing w:line="400" w:lineRule="exact"/>
    </w:pPr>
    <w:rPr>
      <w:sz w:val="28"/>
    </w:rPr>
  </w:style>
  <w:style w:type="character" w:customStyle="1" w:styleId="117">
    <w:name w:val="目录1 Char"/>
    <w:link w:val="116"/>
    <w:qFormat/>
    <w:locked/>
    <w:uiPriority w:val="99"/>
    <w:rPr>
      <w:rFonts w:ascii="黑体" w:hAnsi="黑体" w:eastAsia="黑体"/>
      <w:kern w:val="2"/>
      <w:sz w:val="28"/>
    </w:rPr>
  </w:style>
  <w:style w:type="paragraph" w:customStyle="1" w:styleId="118">
    <w:name w:val="目录标题"/>
    <w:basedOn w:val="3"/>
    <w:link w:val="119"/>
    <w:qFormat/>
    <w:uiPriority w:val="99"/>
    <w:pPr>
      <w:ind w:firstLine="200"/>
    </w:pPr>
    <w:rPr>
      <w:bCs w:val="0"/>
      <w:sz w:val="44"/>
      <w:szCs w:val="20"/>
    </w:rPr>
  </w:style>
  <w:style w:type="character" w:customStyle="1" w:styleId="119">
    <w:name w:val="目录标题 Char"/>
    <w:link w:val="118"/>
    <w:qFormat/>
    <w:locked/>
    <w:uiPriority w:val="99"/>
    <w:rPr>
      <w:rFonts w:ascii="宋体" w:hAnsi="宋体" w:eastAsia="华文中宋"/>
      <w:sz w:val="44"/>
    </w:rPr>
  </w:style>
  <w:style w:type="paragraph" w:customStyle="1" w:styleId="120">
    <w:name w:val="目录（一）"/>
    <w:basedOn w:val="116"/>
    <w:link w:val="121"/>
    <w:qFormat/>
    <w:uiPriority w:val="99"/>
    <w:rPr>
      <w:sz w:val="24"/>
    </w:rPr>
  </w:style>
  <w:style w:type="character" w:customStyle="1" w:styleId="121">
    <w:name w:val="目录（一） Char"/>
    <w:link w:val="120"/>
    <w:qFormat/>
    <w:locked/>
    <w:uiPriority w:val="99"/>
    <w:rPr>
      <w:rFonts w:ascii="黑体" w:hAnsi="黑体" w:eastAsia="黑体"/>
      <w:kern w:val="2"/>
      <w:sz w:val="24"/>
    </w:rPr>
  </w:style>
  <w:style w:type="character" w:customStyle="1" w:styleId="122">
    <w:name w:val="访问过的超链接1"/>
    <w:qFormat/>
    <w:uiPriority w:val="99"/>
    <w:rPr>
      <w:rFonts w:eastAsia="宋体"/>
      <w:color w:val="800080"/>
      <w:kern w:val="2"/>
      <w:sz w:val="24"/>
      <w:u w:val="single"/>
      <w:lang w:val="en-US" w:eastAsia="zh-CN"/>
    </w:rPr>
  </w:style>
  <w:style w:type="character" w:customStyle="1" w:styleId="123">
    <w:name w:val="Body Text Indent Char"/>
    <w:qFormat/>
    <w:locked/>
    <w:uiPriority w:val="99"/>
    <w:rPr>
      <w:rFonts w:ascii="仿宋_GB2312" w:eastAsia="仿宋_GB2312"/>
      <w:sz w:val="30"/>
    </w:rPr>
  </w:style>
  <w:style w:type="character" w:customStyle="1" w:styleId="124">
    <w:name w:val="Body Text Indent Char1"/>
    <w:basedOn w:val="35"/>
    <w:semiHidden/>
    <w:qFormat/>
    <w:uiPriority w:val="99"/>
    <w:rPr>
      <w:rFonts w:ascii="仿宋_GB2312" w:hAnsi="宋体" w:eastAsia="仿宋_GB2312"/>
      <w:color w:val="000000"/>
      <w:kern w:val="16"/>
      <w:sz w:val="30"/>
    </w:rPr>
  </w:style>
  <w:style w:type="character" w:customStyle="1" w:styleId="125">
    <w:name w:val="正文文本缩进 字符"/>
    <w:link w:val="15"/>
    <w:qFormat/>
    <w:locked/>
    <w:uiPriority w:val="99"/>
    <w:rPr>
      <w:rFonts w:ascii="仿宋_GB2312" w:hAnsi="Calibri" w:eastAsia="仿宋_GB2312"/>
      <w:sz w:val="30"/>
    </w:rPr>
  </w:style>
  <w:style w:type="character" w:customStyle="1" w:styleId="126">
    <w:name w:val="批注文字 字符"/>
    <w:basedOn w:val="35"/>
    <w:link w:val="13"/>
    <w:semiHidden/>
    <w:qFormat/>
    <w:locked/>
    <w:uiPriority w:val="99"/>
    <w:rPr>
      <w:rFonts w:ascii="仿宋_GB2312" w:hAnsi="宋体" w:eastAsia="仿宋_GB2312"/>
      <w:color w:val="000000"/>
      <w:kern w:val="16"/>
      <w:sz w:val="30"/>
    </w:rPr>
  </w:style>
  <w:style w:type="character" w:customStyle="1" w:styleId="127">
    <w:name w:val="批注主题 字符"/>
    <w:basedOn w:val="126"/>
    <w:link w:val="32"/>
    <w:semiHidden/>
    <w:qFormat/>
    <w:locked/>
    <w:uiPriority w:val="99"/>
    <w:rPr>
      <w:rFonts w:ascii="仿宋_GB2312" w:hAnsi="宋体" w:eastAsia="仿宋_GB2312"/>
      <w:b/>
      <w:color w:val="000000"/>
      <w:kern w:val="16"/>
      <w:sz w:val="30"/>
    </w:rPr>
  </w:style>
  <w:style w:type="paragraph" w:customStyle="1" w:styleId="128">
    <w:name w:val="默认段落字体 Para Char Char Char Char Char Char Char"/>
    <w:basedOn w:val="1"/>
    <w:qFormat/>
    <w:uiPriority w:val="99"/>
    <w:pPr>
      <w:widowControl w:val="0"/>
      <w:jc w:val="both"/>
    </w:pPr>
    <w:rPr>
      <w:rFonts w:ascii="Arial" w:hAnsi="Arial" w:cs="Arial"/>
      <w:kern w:val="2"/>
      <w:sz w:val="20"/>
      <w:szCs w:val="20"/>
    </w:rPr>
  </w:style>
  <w:style w:type="paragraph" w:customStyle="1" w:styleId="129">
    <w:name w:val="Char"/>
    <w:basedOn w:val="1"/>
    <w:qFormat/>
    <w:uiPriority w:val="99"/>
    <w:pPr>
      <w:widowControl w:val="0"/>
      <w:jc w:val="both"/>
    </w:pPr>
    <w:rPr>
      <w:rFonts w:ascii="仿宋_GB2312" w:eastAsia="仿宋_GB2312" w:cs="仿宋_GB2312"/>
      <w:color w:val="000000"/>
      <w:kern w:val="16"/>
      <w:szCs w:val="30"/>
    </w:rPr>
  </w:style>
  <w:style w:type="paragraph" w:customStyle="1" w:styleId="130">
    <w:name w:val="样式5"/>
    <w:basedOn w:val="2"/>
    <w:qFormat/>
    <w:uiPriority w:val="99"/>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jc w:val="center"/>
      <w:textAlignment w:val="baseline"/>
    </w:pPr>
    <w:rPr>
      <w:rFonts w:ascii="黑体" w:eastAsia="黑体" w:cs="黑体"/>
      <w:b w:val="0"/>
      <w:kern w:val="0"/>
      <w:sz w:val="36"/>
      <w:szCs w:val="36"/>
      <w:lang w:val="en-GB"/>
    </w:rPr>
  </w:style>
  <w:style w:type="paragraph" w:customStyle="1" w:styleId="131">
    <w:name w:val="Char Char Char Char Char Char Char"/>
    <w:basedOn w:val="12"/>
    <w:qFormat/>
    <w:uiPriority w:val="99"/>
    <w:pPr>
      <w:shd w:val="clear" w:color="auto" w:fill="000080"/>
      <w:adjustRightInd w:val="0"/>
      <w:spacing w:line="360" w:lineRule="auto"/>
      <w:ind w:left="1276"/>
      <w:jc w:val="center"/>
      <w:outlineLvl w:val="3"/>
    </w:pPr>
    <w:rPr>
      <w:rFonts w:ascii="Tahoma" w:hAnsi="Tahoma" w:eastAsia="仿宋_GB2312" w:cs="Tahoma"/>
      <w:color w:val="000000"/>
      <w:kern w:val="16"/>
      <w:sz w:val="24"/>
      <w:szCs w:val="24"/>
    </w:rPr>
  </w:style>
  <w:style w:type="paragraph" w:customStyle="1" w:styleId="132">
    <w:name w:val="样式 标题 2一级条标题l22Heading 2 CharH2H3二级h22nd levelheading ...1"/>
    <w:basedOn w:val="3"/>
    <w:qFormat/>
    <w:uiPriority w:val="99"/>
    <w:pPr>
      <w:spacing w:beforeLines="50" w:afterLines="50"/>
      <w:ind w:left="1276"/>
    </w:pPr>
    <w:rPr>
      <w:rFonts w:ascii="黑体" w:hAnsi="Times New Roman" w:eastAsia="黑体" w:cs="黑体"/>
      <w:bCs w:val="0"/>
      <w:color w:val="000000"/>
      <w:kern w:val="16"/>
      <w:szCs w:val="30"/>
    </w:rPr>
  </w:style>
  <w:style w:type="paragraph" w:customStyle="1" w:styleId="133">
    <w:name w:val="tgt1"/>
    <w:basedOn w:val="1"/>
    <w:qFormat/>
    <w:uiPriority w:val="99"/>
    <w:pPr>
      <w:spacing w:after="150"/>
    </w:pPr>
  </w:style>
  <w:style w:type="paragraph" w:customStyle="1" w:styleId="134">
    <w:name w:val="样式 标题 3二级条标题h3第二层条第三层1.1.1 标题 3l3CT3h4Heading 3 - old...2"/>
    <w:basedOn w:val="1"/>
    <w:qFormat/>
    <w:uiPriority w:val="99"/>
    <w:pPr>
      <w:widowControl w:val="0"/>
      <w:ind w:left="1276"/>
      <w:jc w:val="both"/>
    </w:pPr>
    <w:rPr>
      <w:rFonts w:ascii="仿宋_GB2312" w:eastAsia="仿宋_GB2312" w:cs="仿宋_GB2312"/>
      <w:color w:val="000000"/>
      <w:kern w:val="16"/>
      <w:szCs w:val="30"/>
    </w:rPr>
  </w:style>
  <w:style w:type="paragraph" w:customStyle="1" w:styleId="135">
    <w:name w:val="Char Char Char Char"/>
    <w:basedOn w:val="1"/>
    <w:qFormat/>
    <w:uiPriority w:val="99"/>
    <w:pPr>
      <w:widowControl w:val="0"/>
      <w:tabs>
        <w:tab w:val="left" w:pos="1415"/>
      </w:tabs>
      <w:ind w:left="1415" w:hanging="855"/>
      <w:jc w:val="both"/>
    </w:pPr>
    <w:rPr>
      <w:rFonts w:ascii="Times New Roman" w:hAnsi="Times New Roman" w:cs="Times New Roman"/>
      <w:kern w:val="2"/>
    </w:rPr>
  </w:style>
  <w:style w:type="paragraph" w:customStyle="1" w:styleId="136">
    <w:name w:val="修订1"/>
    <w:hidden/>
    <w:semiHidden/>
    <w:qFormat/>
    <w:uiPriority w:val="99"/>
    <w:rPr>
      <w:rFonts w:ascii="仿宋_GB2312" w:hAnsi="宋体" w:eastAsia="仿宋_GB2312" w:cs="仿宋_GB2312"/>
      <w:color w:val="000000"/>
      <w:kern w:val="16"/>
      <w:sz w:val="30"/>
      <w:szCs w:val="30"/>
      <w:lang w:val="en-US" w:eastAsia="zh-CN" w:bidi="ar-SA"/>
    </w:rPr>
  </w:style>
  <w:style w:type="paragraph" w:customStyle="1" w:styleId="137">
    <w:name w:val="样式1"/>
    <w:basedOn w:val="1"/>
    <w:link w:val="138"/>
    <w:qFormat/>
    <w:uiPriority w:val="99"/>
    <w:pPr>
      <w:jc w:val="both"/>
    </w:pPr>
    <w:rPr>
      <w:rFonts w:ascii="仿宋_GB2312" w:eastAsia="仿宋_GB2312" w:cs="Times New Roman"/>
      <w:kern w:val="16"/>
      <w:szCs w:val="20"/>
    </w:rPr>
  </w:style>
  <w:style w:type="character" w:customStyle="1" w:styleId="138">
    <w:name w:val="样式1 Char"/>
    <w:link w:val="137"/>
    <w:qFormat/>
    <w:locked/>
    <w:uiPriority w:val="99"/>
    <w:rPr>
      <w:rFonts w:ascii="仿宋_GB2312" w:hAnsi="宋体" w:eastAsia="仿宋_GB2312"/>
      <w:kern w:val="16"/>
      <w:sz w:val="30"/>
    </w:rPr>
  </w:style>
  <w:style w:type="character" w:customStyle="1" w:styleId="139">
    <w:name w:val="HTML 预设格式 字符"/>
    <w:basedOn w:val="35"/>
    <w:link w:val="29"/>
    <w:semiHidden/>
    <w:qFormat/>
    <w:locked/>
    <w:uiPriority w:val="99"/>
    <w:rPr>
      <w:rFonts w:ascii="宋体" w:hAnsi="宋体" w:eastAsia="宋体"/>
      <w:sz w:val="24"/>
    </w:rPr>
  </w:style>
  <w:style w:type="paragraph" w:customStyle="1" w:styleId="140">
    <w:name w:val="TOC 标题1"/>
    <w:basedOn w:val="2"/>
    <w:next w:val="1"/>
    <w:qFormat/>
    <w:uiPriority w:val="99"/>
    <w:pPr>
      <w:widowControl/>
      <w:spacing w:before="480" w:after="0" w:line="276" w:lineRule="auto"/>
      <w:jc w:val="left"/>
      <w:outlineLvl w:val="9"/>
    </w:pPr>
    <w:rPr>
      <w:rFonts w:ascii="Cambria" w:hAnsi="Cambria" w:eastAsia="宋体" w:cs="Cambria"/>
      <w:bCs/>
      <w:color w:val="365F91"/>
      <w:kern w:val="0"/>
      <w:sz w:val="28"/>
      <w:szCs w:val="28"/>
    </w:rPr>
  </w:style>
  <w:style w:type="paragraph" w:customStyle="1" w:styleId="14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table" w:customStyle="1" w:styleId="142">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43">
    <w:name w:val="Table Paragraph"/>
    <w:basedOn w:val="1"/>
    <w:qFormat/>
    <w:uiPriority w:val="1"/>
    <w:pPr>
      <w:widowControl w:val="0"/>
    </w:pPr>
    <w:rPr>
      <w:rFonts w:asciiTheme="minorHAnsi" w:hAnsiTheme="minorHAnsi" w:eastAsiaTheme="minorEastAsia" w:cstheme="minorBidi"/>
      <w:szCs w:val="22"/>
      <w:lang w:eastAsia="en-US"/>
    </w:rPr>
  </w:style>
  <w:style w:type="table" w:customStyle="1" w:styleId="144">
    <w:name w:val="Table Normal1"/>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145">
    <w:name w:val="Table Normal2"/>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46">
    <w:name w:val="未处理的提及1"/>
    <w:basedOn w:val="35"/>
    <w:unhideWhenUsed/>
    <w:qFormat/>
    <w:uiPriority w:val="99"/>
    <w:rPr>
      <w:color w:val="605E5C"/>
      <w:shd w:val="clear" w:color="auto" w:fill="E1DFDD"/>
    </w:rPr>
  </w:style>
  <w:style w:type="paragraph" w:customStyle="1" w:styleId="147">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styleId="14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357B-1376-E14D-9D39-2A65F61ADBF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6412</Words>
  <Characters>8465</Characters>
  <Lines>66</Lines>
  <Paragraphs>18</Paragraphs>
  <TotalTime>11</TotalTime>
  <ScaleCrop>false</ScaleCrop>
  <LinksUpToDate>false</LinksUpToDate>
  <CharactersWithSpaces>8854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2022-04-18T13:23:00Z</dcterms:created>
  <dc:creator>K2450</dc:creator>
  <cp:lastModifiedBy>lenovo</cp:lastModifiedBy>
  <cp:lastPrinted>2018-03-01T03:24:00Z</cp:lastPrinted>
  <dcterms:modified xsi:type="dcterms:W3CDTF">2022-07-04T02:52:45Z</dcterms:modified>
  <dc:title>政府部门财务报告编制操作指南</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7A570A2AD1A74AC9A65AF9D650D8A66D</vt:lpwstr>
  </property>
</Properties>
</file>