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/>
        <w:jc w:val="center"/>
        <w:rPr>
          <w:color w:val="3D3C3C"/>
          <w:sz w:val="36"/>
          <w:szCs w:val="36"/>
        </w:rPr>
      </w:pPr>
      <w:r>
        <w:rPr>
          <w:rFonts w:ascii="宋体" w:hAnsi="宋体" w:eastAsia="宋体" w:cs="宋体"/>
          <w:color w:val="3D3C3C"/>
          <w:kern w:val="0"/>
          <w:sz w:val="36"/>
          <w:szCs w:val="36"/>
          <w:lang w:val="en-US" w:eastAsia="zh-CN" w:bidi="ar"/>
        </w:rPr>
        <w:t>关于巴阿力旦沙宅基地首次的公告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以公告。如有异议，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请自本公告之日起十五个工作日内（2022年07月13日之前）将异议书面材料送达我机构。公示期满无异议或异议不成立的，我机构将予以登记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巴阿力旦沙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5110221JC00186F00010001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4E885D51"/>
    <w:rsid w:val="5BAB5AF4"/>
    <w:rsid w:val="6EED7D49"/>
    <w:rsid w:val="797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324</Characters>
  <Lines>0</Lines>
  <Paragraphs>0</Paragraphs>
  <TotalTime>0</TotalTime>
  <ScaleCrop>false</ScaleCrop>
  <LinksUpToDate>false</LinksUpToDate>
  <CharactersWithSpaces>330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2022-06-27T00:50:36Z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915A9AF12B224F069DD4910CE5BCE566</vt:lpwstr>
  </property>
</Properties>
</file>