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lang w:val="en-US" w:eastAsia="zh-CN" w:bidi="ar"/>
        </w:rPr>
        <w:t>关于尹建娟宅基地首次的公告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请自本公告之日起十五个工作日内（2022年07月07日之前）将异议书面材料送达我机构。公示期满无异议或异议不成立的，我机构将予以登记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尹建娟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奈曼旗苇莲苏乡兴安庄村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5205211JC00269F00010001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土地：600㎡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32C368B6"/>
    <w:rsid w:val="01AE0E75"/>
    <w:rsid w:val="32C368B6"/>
    <w:rsid w:val="538423D4"/>
    <w:rsid w:val="692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236</Words>
  <Characters>283</Characters>
  <Lines>0</Lines>
  <Paragraphs>0</Paragraphs>
  <TotalTime>0</TotalTime>
  <ScaleCrop>false</ScaleCrop>
  <LinksUpToDate>false</LinksUpToDate>
  <CharactersWithSpaces>289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2022-06-15T02:29:00Z</dcterms:created>
  <dc:creator>a你是风景我为流年</dc:creator>
  <cp:lastModifiedBy>a你是风景我为流年</cp:lastModifiedBy>
  <dcterms:modified xsi:type="dcterms:W3CDTF">2022-06-15T02:33:29Z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CA6660182B664D8E9CB98ADBD30B900A</vt:lpwstr>
  </property>
</Properties>
</file>