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刘雨珍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女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160厘米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65公斤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独居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152326196507305324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13484755069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15232619650730532412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15114733370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√视力残疾: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其他辅具需求：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刘雨珍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tbl_2(0,0,0,0,0,0,2_1_6_0_2|D,0,0,0,0,2_4_2_0_0|D,0,0,2_6_1_0_0|D,0,2_8_1_5_0|D,0,0,0);
</file>