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7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5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5"/>
          <w:sz w:val="44"/>
          <w:szCs w:val="44"/>
          <w:shd w:val="clear" w:fill="FFFFFF"/>
        </w:rPr>
        <w:t>警钟长鸣!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5"/>
          <w:sz w:val="44"/>
          <w:szCs w:val="44"/>
          <w:shd w:val="clear" w:fill="FFFFFF"/>
          <w:lang w:val="en-US" w:eastAsia="zh-CN"/>
        </w:rPr>
        <w:t>旗医疗保障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5"/>
          <w:sz w:val="44"/>
          <w:szCs w:val="44"/>
          <w:shd w:val="clear" w:fill="FFFFFF"/>
        </w:rPr>
        <w:t>局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5"/>
          <w:sz w:val="44"/>
          <w:szCs w:val="44"/>
          <w:shd w:val="clear" w:fill="FFFFFF"/>
          <w:lang w:val="en-US" w:eastAsia="zh-CN"/>
        </w:rPr>
        <w:t>召开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5"/>
          <w:sz w:val="44"/>
          <w:szCs w:val="44"/>
          <w:shd w:val="clear" w:fill="FFFFFF"/>
        </w:rPr>
        <w:t>打击欺诈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7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5"/>
          <w:sz w:val="44"/>
          <w:szCs w:val="44"/>
          <w:shd w:val="clear" w:fill="FFFFFF"/>
        </w:rPr>
        <w:t>骗保警示教育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5"/>
          <w:sz w:val="44"/>
          <w:szCs w:val="44"/>
          <w:shd w:val="clear" w:fill="FFFFFF"/>
          <w:lang w:val="en-US" w:eastAsia="zh-CN"/>
        </w:rPr>
        <w:t>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医保基金是老百姓的“看病钱，救命钱”，医疗保障部门承担着医保基金的监管重任。为进一步加强基金监管，营造良好氛围，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按照通辽市医疗保障局要求，5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奈曼旗医疗保障局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定点医疗机构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集中观看了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自治区医疗保障局打击欺诈骗保警示教育专题片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2411095"/>
            <wp:effectExtent l="0" t="0" r="10160" b="8255"/>
            <wp:docPr id="2" name="图片 2" descr="4bd532947971d15d3b4a46054e84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bd532947971d15d3b4a46054e84046"/>
                    <pic:cNvPicPr>
                      <a:picLocks noChangeAspect="1"/>
                    </pic:cNvPicPr>
                  </pic:nvPicPr>
                  <pic:blipFill>
                    <a:blip r:embed="rId4"/>
                    <a:srcRect t="7025" b="3194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通过观看警示教育片，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旨在督促各定点医疗机构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以典型案例为警示，引以为戒，吸取教训，强化内部管理，不断规范医保基金使用行为，坚决杜绝欺诈骗保行为的发生。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参会人员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纷纷表示将以典型案例为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lang w:val="en-US" w:eastAsia="zh-CN"/>
        </w:rPr>
        <w:t>镜鉴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切实提高“底线”意识、“红线”意识，自觉接受政府监管和社会监督，在全社会营造维护医保基金安全的良好氛围。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drawing>
          <wp:inline distT="0" distB="0" distL="114300" distR="114300">
            <wp:extent cx="5266690" cy="2473960"/>
            <wp:effectExtent l="0" t="0" r="10160" b="2540"/>
            <wp:docPr id="3" name="图片 3" descr="3817906ef098091e75ea402745e44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817906ef098091e75ea402745e44ab"/>
                    <pic:cNvPicPr>
                      <a:picLocks noChangeAspect="1"/>
                    </pic:cNvPicPr>
                  </pic:nvPicPr>
                  <pic:blipFill>
                    <a:blip r:embed="rId5"/>
                    <a:srcRect t="5835" b="3153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584" w:firstLineChars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ZTUyODQ5YmUyOWMxZjdhNThhMTAzY2E2OWUyYjkifQ=="/>
  </w:docVars>
  <w:rsids>
    <w:rsidRoot w:val="00000000"/>
    <w:rsid w:val="035C478A"/>
    <w:rsid w:val="050D3DEB"/>
    <w:rsid w:val="0D3A4440"/>
    <w:rsid w:val="0F770919"/>
    <w:rsid w:val="47973827"/>
    <w:rsid w:val="5BB873FD"/>
    <w:rsid w:val="5D8D7D5E"/>
    <w:rsid w:val="7FDD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303</Characters>
  <Lines>0</Lines>
  <Paragraphs>0</Paragraphs>
  <TotalTime>56</TotalTime>
  <ScaleCrop>false</ScaleCrop>
  <LinksUpToDate>false</LinksUpToDate>
  <CharactersWithSpaces>303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2021-03-18T13:04:00Z</dcterms:created>
  <dc:creator>Administrator</dc:creator>
  <cp:lastModifiedBy>NTKO</cp:lastModifiedBy>
  <dcterms:modified xsi:type="dcterms:W3CDTF">2022-05-26T08:51:48Z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5D3D00D169414C33978ECFF06524B4BC</vt:lpwstr>
  </property>
</Properties>
</file>