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4"/>
    </v:background>
  </w:background>
  <w:body>
    <w:p>
      <w:pPr>
        <w:pStyle w:val="4"/>
        <w:pageBreakBefore w:val="0"/>
        <w:widowControl w:val="0"/>
        <w:shd w:val="clear" w:color="auto" w:fill="auto"/>
        <w:kinsoku/>
        <w:wordWrap/>
        <w:overflowPunct/>
        <w:topLinePunct w:val="0"/>
        <w:autoSpaceDE/>
        <w:autoSpaceDN/>
        <w:bidi w:val="0"/>
        <w:adjustRightInd/>
        <w:snapToGrid/>
        <w:spacing w:line="560" w:lineRule="exact"/>
        <w:ind w:left="0" w:right="0" w:firstLine="0"/>
        <w:jc w:val="center"/>
        <w:textAlignment w:val="auto"/>
        <w:rPr>
          <w:rFonts w:hint="default" w:ascii="方正小标宋简体" w:hAnsi="方正小标宋简体" w:eastAsia="方正小标宋简体" w:cs="方正小标宋简体"/>
          <w:b w:val="0"/>
          <w:bCs/>
          <w:color w:val="000000"/>
          <w:spacing w:val="0"/>
          <w:w w:val="100"/>
          <w:position w:val="0"/>
          <w:sz w:val="48"/>
          <w:szCs w:val="48"/>
          <w:shd w:val="clear" w:color="auto" w:fill="auto"/>
          <w:lang w:val="en-US" w:eastAsia="zh-CN" w:bidi="ar-SA"/>
        </w:rPr>
      </w:pPr>
      <w:r>
        <w:rPr>
          <w:rFonts w:hint="eastAsia" w:ascii="方正小标宋简体" w:hAnsi="方正小标宋简体" w:eastAsia="方正小标宋简体" w:cs="方正小标宋简体"/>
          <w:b w:val="0"/>
          <w:bCs/>
          <w:color w:val="000000"/>
          <w:spacing w:val="0"/>
          <w:w w:val="100"/>
          <w:position w:val="0"/>
          <w:sz w:val="48"/>
          <w:szCs w:val="48"/>
          <w:shd w:val="clear" w:color="auto" w:fill="auto"/>
          <w:lang w:val="en-US" w:eastAsia="zh-CN" w:bidi="ar-SA"/>
        </w:rPr>
        <w:t>奈曼旗监测户识别标准及程序宣传单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黑体" w:hAnsi="黑体" w:eastAsia="黑体" w:cs="黑体"/>
          <w:b w:val="0"/>
          <w:bCs w:val="0"/>
          <w:color w:val="000000"/>
          <w:spacing w:val="0"/>
          <w:w w:val="100"/>
          <w:kern w:val="2"/>
          <w:position w:val="0"/>
          <w:sz w:val="40"/>
          <w:szCs w:val="40"/>
          <w:shd w:val="clear" w:color="auto" w:fill="auto"/>
          <w:lang w:val="en-US" w:eastAsia="zh-CN" w:bidi="ar-SA"/>
        </w:rPr>
      </w:pPr>
      <w:r>
        <w:rPr>
          <w:rFonts w:hint="eastAsia" w:ascii="黑体" w:hAnsi="黑体" w:eastAsia="黑体" w:cs="黑体"/>
          <w:b w:val="0"/>
          <w:bCs w:val="0"/>
          <w:color w:val="000000"/>
          <w:spacing w:val="0"/>
          <w:w w:val="100"/>
          <w:kern w:val="2"/>
          <w:position w:val="0"/>
          <w:sz w:val="40"/>
          <w:szCs w:val="40"/>
          <w:shd w:val="clear" w:color="auto" w:fill="auto"/>
          <w:lang w:val="en-US" w:eastAsia="zh-CN" w:bidi="ar-SA"/>
        </w:rPr>
        <w:t>一、纳入监测户的标准：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0" w:firstLineChars="200"/>
        <w:jc w:val="left"/>
        <w:textAlignment w:val="auto"/>
        <w:rPr>
          <w:rFonts w:hint="eastAsia" w:ascii="黑体" w:hAnsi="黑体" w:eastAsia="黑体" w:cs="黑体"/>
          <w:b w:val="0"/>
          <w:bCs w:val="0"/>
          <w:color w:val="000000"/>
          <w:spacing w:val="0"/>
          <w:w w:val="100"/>
          <w:kern w:val="2"/>
          <w:position w:val="0"/>
          <w:sz w:val="40"/>
          <w:szCs w:val="40"/>
          <w:shd w:val="clear" w:color="auto" w:fill="auto"/>
          <w:lang w:val="en-US" w:eastAsia="zh-CN" w:bidi="ar-SA"/>
        </w:rPr>
      </w:pP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以自治区综合全区物价指数变</w:t>
      </w:r>
      <w:bookmarkStart w:id="0" w:name="_GoBack"/>
      <w:bookmarkEnd w:id="0"/>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化、农村牧区居民人均可支配收入增幅和农村牧区低保标准等因素实际调整的监测标准（人均纯收入6600元）为2022年全区防返贫监测底线。主要针对全旗所有从事农牧业生产的农村牧区人口、易地扶贫搬迁人口，以家庭为单位。重点监测低保户、特困供养户（含失能老年人）、大病重病户、负担较重的慢性病、重度残疾户、因意外事故等引发刚性支出明显超过上年度收入和收入大幅度缩减的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黑体" w:hAnsi="黑体" w:eastAsia="黑体" w:cs="黑体"/>
          <w:b w:val="0"/>
          <w:bCs w:val="0"/>
          <w:color w:val="000000"/>
          <w:spacing w:val="0"/>
          <w:w w:val="100"/>
          <w:kern w:val="2"/>
          <w:position w:val="0"/>
          <w:sz w:val="40"/>
          <w:szCs w:val="40"/>
          <w:shd w:val="clear" w:color="auto" w:fill="auto"/>
          <w:lang w:val="en-US" w:eastAsia="zh-CN" w:bidi="ar-SA"/>
        </w:rPr>
      </w:pPr>
      <w:r>
        <w:rPr>
          <w:rFonts w:hint="eastAsia" w:ascii="黑体" w:hAnsi="黑体" w:eastAsia="黑体" w:cs="黑体"/>
          <w:b w:val="0"/>
          <w:bCs w:val="0"/>
          <w:color w:val="000000"/>
          <w:spacing w:val="0"/>
          <w:w w:val="100"/>
          <w:kern w:val="2"/>
          <w:position w:val="0"/>
          <w:sz w:val="40"/>
          <w:szCs w:val="40"/>
          <w:shd w:val="clear" w:color="auto" w:fill="auto"/>
          <w:lang w:val="en-US" w:eastAsia="zh-CN" w:bidi="ar-SA"/>
        </w:rPr>
        <w:t>二、监测户的分类：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3" w:firstLineChars="200"/>
        <w:jc w:val="left"/>
        <w:textAlignment w:val="auto"/>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1.脱贫不稳定户：</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家庭人均纯收入在6600元以下，因产业发展失败、就业不稳、意外事故等有返贫风险的“脱贫户”。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3" w:firstLineChars="200"/>
        <w:jc w:val="left"/>
        <w:textAlignment w:val="auto"/>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2.边缘易致贫户（非脱贫户）：</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家庭人均纯收入在6600元以下，因病因灾因意外事故等有致贫风险的“一般农牧户”。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3" w:firstLineChars="200"/>
        <w:jc w:val="left"/>
        <w:textAlignment w:val="auto"/>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3.突发严重困难户：</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家庭人均纯收入在6600元以上，因病因灾因意外事故等刚性支出较大或收入大幅缩减导致基本生活出现严重困难的“脱贫户”和“一般农牧户”。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0" w:firstLineChars="200"/>
        <w:jc w:val="left"/>
        <w:textAlignment w:val="auto"/>
        <w:rPr>
          <w:rFonts w:hint="default"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农牧户年人均纯收入在监测范围内是识别的重要条件之一，但不是唯一条件，更不是新的贫困标准，一些农户收入虽然未超过6600元，但收入稳定，且“两不愁、三保障”和饮水安全没有问题，不存在返贫致贫风险，经过严格认定后，可不识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黑体" w:hAnsi="黑体" w:eastAsia="黑体" w:cs="黑体"/>
          <w:b w:val="0"/>
          <w:bCs w:val="0"/>
          <w:color w:val="000000"/>
          <w:spacing w:val="0"/>
          <w:w w:val="100"/>
          <w:kern w:val="2"/>
          <w:position w:val="0"/>
          <w:sz w:val="40"/>
          <w:szCs w:val="40"/>
          <w:shd w:val="clear" w:color="auto" w:fill="auto"/>
          <w:lang w:val="en-US" w:eastAsia="zh-CN" w:bidi="ar-SA"/>
        </w:rPr>
      </w:pPr>
      <w:r>
        <w:rPr>
          <w:rFonts w:hint="eastAsia" w:ascii="黑体" w:hAnsi="黑体" w:eastAsia="黑体" w:cs="黑体"/>
          <w:b w:val="0"/>
          <w:bCs w:val="0"/>
          <w:color w:val="000000"/>
          <w:spacing w:val="0"/>
          <w:w w:val="100"/>
          <w:kern w:val="2"/>
          <w:position w:val="0"/>
          <w:sz w:val="40"/>
          <w:szCs w:val="40"/>
          <w:shd w:val="clear" w:color="auto" w:fill="auto"/>
          <w:lang w:val="en-US" w:eastAsia="zh-CN" w:bidi="ar-SA"/>
        </w:rPr>
        <w:t>三、识别监测户的方式：</w:t>
      </w:r>
    </w:p>
    <w:p>
      <w:pPr>
        <w:pStyle w:val="2"/>
        <w:ind w:left="0" w:leftChars="0" w:firstLine="723" w:firstLineChars="200"/>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1.农牧户自主申报：</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采用防返贫监测手机APP或拨打“12317”防返贫热线自主申报，向所在嘎查村直接申报。</w:t>
      </w:r>
    </w:p>
    <w:p>
      <w:pPr>
        <w:pStyle w:val="2"/>
        <w:ind w:left="0" w:leftChars="0" w:firstLine="723" w:firstLineChars="200"/>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2.基层干部排查：</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苏木乡镇组织村两委、驻村工作队等开展日常排查或集中排查。</w:t>
      </w:r>
    </w:p>
    <w:p>
      <w:pPr>
        <w:pStyle w:val="2"/>
        <w:ind w:left="0" w:leftChars="0" w:firstLine="723" w:firstLineChars="200"/>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3.部门筛查预警：</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旗乡村振兴局定期会同相关行业部门进行数据共享和对接，作出预警，交予乡镇、嘎查村核实。</w:t>
      </w:r>
    </w:p>
    <w:p>
      <w:pPr>
        <w:pStyle w:val="2"/>
        <w:ind w:left="0" w:leftChars="0" w:firstLine="723" w:firstLineChars="200"/>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b/>
          <w:bCs/>
          <w:color w:val="000000"/>
          <w:spacing w:val="0"/>
          <w:w w:val="100"/>
          <w:kern w:val="2"/>
          <w:position w:val="0"/>
          <w:sz w:val="36"/>
          <w:szCs w:val="36"/>
          <w:shd w:val="clear" w:color="auto" w:fill="auto"/>
          <w:lang w:val="en-US" w:eastAsia="zh-CN" w:bidi="ar-SA"/>
        </w:rPr>
        <w:t>4.社会监测发现：</w:t>
      </w: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掌握信访举报、网络平台等信息，组织干部核实情况。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jc w:val="left"/>
        <w:textAlignment w:val="auto"/>
        <w:rPr>
          <w:rFonts w:hint="eastAsia" w:ascii="黑体" w:hAnsi="黑体" w:eastAsia="黑体" w:cs="黑体"/>
          <w:b w:val="0"/>
          <w:bCs w:val="0"/>
          <w:color w:val="000000"/>
          <w:spacing w:val="0"/>
          <w:w w:val="100"/>
          <w:kern w:val="2"/>
          <w:position w:val="0"/>
          <w:sz w:val="40"/>
          <w:szCs w:val="40"/>
          <w:shd w:val="clear" w:color="auto" w:fill="auto"/>
          <w:lang w:val="en-US" w:eastAsia="zh-CN" w:bidi="ar-SA"/>
        </w:rPr>
      </w:pPr>
      <w:r>
        <w:rPr>
          <w:rFonts w:hint="eastAsia" w:ascii="黑体" w:hAnsi="黑体" w:eastAsia="黑体" w:cs="黑体"/>
          <w:b w:val="0"/>
          <w:bCs w:val="0"/>
          <w:color w:val="000000"/>
          <w:spacing w:val="0"/>
          <w:w w:val="100"/>
          <w:kern w:val="2"/>
          <w:position w:val="0"/>
          <w:sz w:val="40"/>
          <w:szCs w:val="40"/>
          <w:shd w:val="clear" w:color="auto" w:fill="auto"/>
          <w:lang w:val="en-US" w:eastAsia="zh-CN" w:bidi="ar-SA"/>
        </w:rPr>
        <w:t>四、识别程序</w:t>
      </w:r>
    </w:p>
    <w:p>
      <w:pPr>
        <w:pStyle w:val="2"/>
        <w:ind w:left="0" w:leftChars="0" w:firstLine="720" w:firstLineChars="200"/>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r>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t>按照农牧户自主申报、走访排查、农牧户授权、民主评议公开、苏木乡镇审核、数据比对、旗审定公示、录入系统管理八个步骤实现监测户的精准识别。</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3" w:firstLineChars="200"/>
        <w:jc w:val="left"/>
        <w:textAlignment w:val="auto"/>
        <w:rPr>
          <w:rFonts w:hint="default" w:ascii="仿宋_GB2312" w:hAnsi="仿宋_GB2312" w:eastAsia="仿宋_GB2312" w:cs="仿宋_GB2312"/>
          <w:b/>
          <w:bCs/>
          <w:color w:val="000000"/>
          <w:spacing w:val="0"/>
          <w:w w:val="100"/>
          <w:kern w:val="2"/>
          <w:position w:val="0"/>
          <w:sz w:val="36"/>
          <w:szCs w:val="36"/>
          <w:shd w:val="clear" w:color="auto" w:fill="auto"/>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right="0" w:firstLine="720" w:firstLineChars="200"/>
        <w:jc w:val="left"/>
        <w:textAlignment w:val="auto"/>
        <w:rPr>
          <w:rFonts w:hint="eastAsia" w:ascii="仿宋_GB2312" w:hAnsi="仿宋_GB2312" w:eastAsia="仿宋_GB2312" w:cs="仿宋_GB2312"/>
          <w:color w:val="000000"/>
          <w:spacing w:val="0"/>
          <w:w w:val="100"/>
          <w:kern w:val="2"/>
          <w:position w:val="0"/>
          <w:sz w:val="36"/>
          <w:szCs w:val="36"/>
          <w:shd w:val="clear" w:color="auto" w:fill="auto"/>
          <w:lang w:val="en-US" w:eastAsia="zh-CN" w:bidi="ar-SA"/>
        </w:rPr>
      </w:pPr>
    </w:p>
    <w:p>
      <w:pPr>
        <w:pStyle w:val="2"/>
        <w:ind w:left="0" w:leftChars="0" w:firstLine="0" w:firstLineChars="0"/>
        <w:rPr>
          <w:rFonts w:hint="eastAsia"/>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DAwMGZjMDQ3MWM5Yjk3NGU5NmRlOGE5NzVjMTUifQ=="/>
  </w:docVars>
  <w:rsids>
    <w:rsidRoot w:val="5FD411B3"/>
    <w:rsid w:val="01140422"/>
    <w:rsid w:val="01804A4C"/>
    <w:rsid w:val="044051B0"/>
    <w:rsid w:val="0B8A42FB"/>
    <w:rsid w:val="1A34441E"/>
    <w:rsid w:val="2FC41ED7"/>
    <w:rsid w:val="31344842"/>
    <w:rsid w:val="37D67BE9"/>
    <w:rsid w:val="407874DF"/>
    <w:rsid w:val="43B0035A"/>
    <w:rsid w:val="45AB493D"/>
    <w:rsid w:val="48233009"/>
    <w:rsid w:val="49194B8B"/>
    <w:rsid w:val="5BB14B16"/>
    <w:rsid w:val="5FD411B3"/>
    <w:rsid w:val="6D2B458A"/>
    <w:rsid w:val="71A12645"/>
    <w:rsid w:val="764A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firstLineChars="200"/>
    </w:pPr>
    <w:rPr>
      <w:sz w:val="28"/>
    </w:rPr>
  </w:style>
  <w:style w:type="paragraph" w:styleId="3">
    <w:name w:val="Body Text Indent"/>
    <w:basedOn w:val="1"/>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2.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顶峰">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752</Words>
  <Characters>783</Characters>
  <Lines>0</Lines>
  <Paragraphs>0</Paragraphs>
  <TotalTime>3</TotalTime>
  <ScaleCrop>false</ScaleCrop>
  <LinksUpToDate>false</LinksUpToDate>
  <CharactersWithSpaces>783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2022-01-10T07:34:00Z</dcterms:created>
  <dc:creator>旗扶贫办王晓宇</dc:creator>
  <cp:lastModifiedBy>旗扶贫办王晓宇</cp:lastModifiedBy>
  <dcterms:modified xsi:type="dcterms:W3CDTF">2022-05-07T10:34:47Z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C24D8E9D0C544301B994A168773646B3</vt:lpwstr>
  </property>
</Properties>
</file>