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eastAsia="zh-CN"/>
        </w:rPr>
      </w:pPr>
      <w:r>
        <w:rPr>
          <w:rFonts w:hint="eastAsia"/>
          <w:b/>
          <w:bCs/>
          <w:sz w:val="40"/>
          <w:szCs w:val="48"/>
          <w:lang w:eastAsia="zh-CN"/>
        </w:rPr>
        <w:t>断网、断电应急预案</w:t>
      </w:r>
    </w:p>
    <w:p>
      <w:pPr>
        <w:jc w:val="both"/>
        <w:rPr>
          <w:rFonts w:hint="eastAsia"/>
          <w:b/>
          <w:bCs/>
          <w:sz w:val="40"/>
          <w:szCs w:val="48"/>
          <w:lang w:eastAsia="zh-CN"/>
        </w:rPr>
      </w:pPr>
      <w:bookmarkStart w:id="0" w:name="_GoBack"/>
      <w:bookmarkEnd w:id="0"/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防汛小组每名成员配备移动、联通或电信两种以上手机号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防汛抢险队员配备手电筒或太阳能应急灯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培训低洼、险段处群众无法联系时，自主逃生技能。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D3FE6"/>
    <w:multiLevelType w:val="singleLevel"/>
    <w:tmpl w:val="466D3FE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FD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2021-07-24T00:48:10Z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