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pPr w:leftFromText="180" w:rightFromText="180" w:horzAnchor="margin" w:tblpX="-160" w:tblpY="468"/>
        <w:tblW w:w="93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3"/>
        <w:gridCol w:w="1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trPr>
        <w:tc>
          <w:tcPr>
            <w:tcW w:w="7653" w:type="dxa"/>
            <w:tcBorders>
              <w:top w:val="nil"/>
              <w:left w:val="nil"/>
              <w:bottom w:val="nil"/>
              <w:right w:val="nil"/>
            </w:tcBorders>
            <w:noWrap w:val="0"/>
            <w:vAlign w:val="center"/>
          </w:tcPr>
          <w:p>
            <w:pPr>
              <w:jc w:val="distribute"/>
              <w:rPr>
                <w:rFonts w:hint="eastAsia" w:eastAsia="宋体"/>
                <w:b/>
                <w:sz w:val="72"/>
                <w:szCs w:val="72"/>
                <w:lang w:eastAsia="zh-CN"/>
              </w:rPr>
            </w:pPr>
            <w:r>
              <w:rPr>
                <w:rFonts w:hint="eastAsia"/>
                <w:b/>
                <w:sz w:val="72"/>
                <w:szCs w:val="72"/>
                <w:lang w:eastAsia="zh-CN"/>
              </w:rPr>
              <w:t>奈曼旗卫生健康委员会</w:t>
            </w:r>
          </w:p>
        </w:tc>
        <w:tc>
          <w:tcPr>
            <w:tcW w:w="1692" w:type="dxa"/>
            <w:vMerge w:val="restart"/>
            <w:tcBorders>
              <w:top w:val="nil"/>
              <w:left w:val="nil"/>
              <w:right w:val="nil"/>
            </w:tcBorders>
            <w:noWrap w:val="0"/>
            <w:vAlign w:val="center"/>
          </w:tcPr>
          <w:p>
            <w:pPr>
              <w:jc w:val="distribute"/>
              <w:rPr>
                <w:rFonts w:hint="eastAsia"/>
                <w:b/>
                <w:sz w:val="72"/>
                <w:szCs w:val="72"/>
              </w:rPr>
            </w:pPr>
            <w:r>
              <w:rPr>
                <w:rFonts w:hint="eastAsia"/>
                <w:b/>
                <w:sz w:val="72"/>
                <w:szCs w:val="72"/>
              </w:rPr>
              <w:t>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trPr>
        <w:tc>
          <w:tcPr>
            <w:tcW w:w="7653" w:type="dxa"/>
            <w:tcBorders>
              <w:top w:val="nil"/>
              <w:left w:val="nil"/>
              <w:bottom w:val="nil"/>
              <w:right w:val="nil"/>
            </w:tcBorders>
            <w:noWrap w:val="0"/>
            <w:vAlign w:val="center"/>
          </w:tcPr>
          <w:p>
            <w:pPr>
              <w:jc w:val="distribute"/>
              <w:rPr>
                <w:rFonts w:hint="eastAsia" w:eastAsiaTheme="minorEastAsia"/>
                <w:b/>
                <w:sz w:val="72"/>
                <w:szCs w:val="72"/>
                <w:lang w:val="en-US" w:eastAsia="zh-CN"/>
              </w:rPr>
            </w:pPr>
            <w:r>
              <w:rPr>
                <w:rFonts w:hint="eastAsia"/>
                <w:b/>
                <w:sz w:val="72"/>
                <w:szCs w:val="72"/>
                <w:lang w:val="en-US" w:eastAsia="zh-CN"/>
              </w:rPr>
              <w:t>奈曼旗公安局</w:t>
            </w:r>
          </w:p>
        </w:tc>
        <w:tc>
          <w:tcPr>
            <w:tcW w:w="1692" w:type="dxa"/>
            <w:vMerge w:val="continue"/>
            <w:tcBorders>
              <w:left w:val="nil"/>
              <w:bottom w:val="nil"/>
              <w:right w:val="nil"/>
            </w:tcBorders>
            <w:noWrap w:val="0"/>
            <w:vAlign w:val="center"/>
          </w:tcPr>
          <w:p>
            <w:pPr>
              <w:jc w:val="distribute"/>
              <w:rPr>
                <w:rFonts w:hint="eastAsia"/>
                <w:b/>
                <w:sz w:val="48"/>
                <w:szCs w:val="48"/>
              </w:rPr>
            </w:pPr>
          </w:p>
        </w:tc>
      </w:tr>
    </w:tbl>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奈卫健联字</w:t>
      </w:r>
      <w:r>
        <w:rPr>
          <w:rFonts w:hint="eastAsia" w:ascii="仿宋" w:hAnsi="仿宋" w:eastAsia="仿宋" w:cs="仿宋"/>
          <w:sz w:val="32"/>
          <w:szCs w:val="32"/>
          <w:lang w:val="en-US" w:eastAsia="zh-CN"/>
        </w:rPr>
        <w:t>〔</w:t>
      </w:r>
      <w:r>
        <w:rPr>
          <w:rFonts w:hint="eastAsia" w:ascii="仿宋_GB2312" w:hAnsi="仿宋_GB2312" w:eastAsia="仿宋_GB2312" w:cs="仿宋_GB2312"/>
          <w:sz w:val="32"/>
          <w:szCs w:val="32"/>
          <w:lang w:val="en-US" w:eastAsia="zh-CN"/>
        </w:rPr>
        <w:t>2021</w:t>
      </w:r>
      <w:r>
        <w:rPr>
          <w:rFonts w:hint="eastAsia" w:ascii="仿宋" w:hAnsi="仿宋" w:eastAsia="仿宋" w:cs="仿宋"/>
          <w:sz w:val="32"/>
          <w:szCs w:val="32"/>
          <w:lang w:val="en-US" w:eastAsia="zh-CN"/>
        </w:rPr>
        <w:t>〕1</w:t>
      </w:r>
      <w:r>
        <w:rPr>
          <w:rFonts w:hint="eastAsia" w:ascii="仿宋_GB2312" w:hAnsi="仿宋_GB2312" w:eastAsia="仿宋_GB2312" w:cs="仿宋_GB2312"/>
          <w:sz w:val="32"/>
          <w:szCs w:val="32"/>
          <w:lang w:val="en-US" w:eastAsia="zh-CN"/>
        </w:rPr>
        <w:t>号</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b w:val="0"/>
          <w:bCs w:val="0"/>
          <w:sz w:val="32"/>
          <w:szCs w:val="32"/>
          <w:u w:val="thick"/>
          <w:lang w:val="en-US" w:eastAsia="zh-CN"/>
        </w:rPr>
      </w:pPr>
      <w:r>
        <w:rPr>
          <w:rFonts w:hint="eastAsia" w:ascii="仿宋_GB2312" w:hAnsi="仿宋_GB2312" w:eastAsia="仿宋_GB2312" w:cs="仿宋_GB2312"/>
          <w:b w:val="0"/>
          <w:bCs w:val="0"/>
          <w:sz w:val="32"/>
          <w:szCs w:val="32"/>
          <w:u w:val="thick"/>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关于印发《奈曼旗“平安医院”创建工作方案》的通知</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各医疗机构：</w:t>
      </w:r>
    </w:p>
    <w:p>
      <w:pPr>
        <w:keepNext w:val="0"/>
        <w:keepLines w:val="0"/>
        <w:pageBreakBefore w:val="0"/>
        <w:widowControl w:val="0"/>
        <w:kinsoku/>
        <w:wordWrap/>
        <w:overflowPunct/>
        <w:topLinePunct w:val="0"/>
        <w:autoSpaceDE/>
        <w:autoSpaceDN/>
        <w:bidi w:val="0"/>
        <w:adjustRightInd/>
        <w:snapToGrid/>
        <w:spacing w:line="500" w:lineRule="exact"/>
        <w:ind w:firstLine="64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为切实加强医疗机构综合治安管理工作，努力维护人民群众的健康权益，创建安全、文明、优质、便捷的医疗服务环境，结合工作实际，制定《奈曼旗“平安医院”创建工作方案》，现印发给你们，请认真组织实施。</w:t>
      </w:r>
    </w:p>
    <w:p>
      <w:pPr>
        <w:keepNext w:val="0"/>
        <w:keepLines w:val="0"/>
        <w:pageBreakBefore w:val="0"/>
        <w:widowControl w:val="0"/>
        <w:kinsoku/>
        <w:wordWrap/>
        <w:overflowPunct/>
        <w:topLinePunct w:val="0"/>
        <w:autoSpaceDE/>
        <w:autoSpaceDN/>
        <w:bidi w:val="0"/>
        <w:adjustRightInd/>
        <w:snapToGrid/>
        <w:spacing w:line="500" w:lineRule="exact"/>
        <w:ind w:firstLine="640"/>
        <w:jc w:val="both"/>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640"/>
        <w:jc w:val="both"/>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奈曼旗卫生健康委员会                奈曼旗公安局</w:t>
      </w:r>
    </w:p>
    <w:p>
      <w:pPr>
        <w:keepNext w:val="0"/>
        <w:keepLines w:val="0"/>
        <w:pageBreakBefore w:val="0"/>
        <w:widowControl w:val="0"/>
        <w:kinsoku/>
        <w:wordWrap/>
        <w:overflowPunct/>
        <w:topLinePunct w:val="0"/>
        <w:autoSpaceDE/>
        <w:autoSpaceDN/>
        <w:bidi w:val="0"/>
        <w:adjustRightInd/>
        <w:snapToGrid/>
        <w:spacing w:line="500" w:lineRule="exact"/>
        <w:ind w:firstLine="640"/>
        <w:jc w:val="both"/>
        <w:textAlignment w:val="auto"/>
        <w:rPr>
          <w:rFonts w:hint="default"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5446" w:firstLineChars="1702"/>
        <w:jc w:val="both"/>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仿宋_GB2312" w:hAnsi="仿宋_GB2312" w:eastAsia="仿宋_GB2312" w:cs="仿宋_GB2312"/>
          <w:b w:val="0"/>
          <w:bCs w:val="0"/>
          <w:sz w:val="32"/>
          <w:szCs w:val="32"/>
          <w:lang w:val="en-US" w:eastAsia="zh-CN"/>
        </w:rPr>
        <w:t>2021年3月11日</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奈曼旗</w:t>
      </w:r>
      <w:r>
        <w:rPr>
          <w:rFonts w:hint="eastAsia" w:ascii="方正小标宋简体" w:hAnsi="方正小标宋简体" w:eastAsia="方正小标宋简体" w:cs="方正小标宋简体"/>
          <w:b w:val="0"/>
          <w:bCs w:val="0"/>
          <w:sz w:val="44"/>
          <w:szCs w:val="44"/>
        </w:rPr>
        <w:t>“平安医院”创建工作方案</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为深化医疗卫生体制改革，加快医疗卫生事业发展，增进广大人民群众健康，必须有一个安全、稳定的内、外部环境。为贯彻落实国家卫健委</w:t>
      </w:r>
      <w:r>
        <w:rPr>
          <w:rFonts w:hint="eastAsia" w:ascii="仿宋_GB2312" w:hAnsi="仿宋_GB2312" w:eastAsia="仿宋_GB2312" w:cs="仿宋_GB2312"/>
          <w:sz w:val="32"/>
          <w:szCs w:val="32"/>
          <w:lang w:eastAsia="zh-CN"/>
        </w:rPr>
        <w:t>、内蒙古自治区卫健委及通辽市卫健委有</w:t>
      </w:r>
      <w:r>
        <w:rPr>
          <w:rFonts w:hint="eastAsia" w:ascii="仿宋_GB2312" w:hAnsi="仿宋_GB2312" w:eastAsia="仿宋_GB2312" w:cs="仿宋_GB2312"/>
          <w:sz w:val="32"/>
          <w:szCs w:val="32"/>
        </w:rPr>
        <w:t>关精神，扎实推进医疗机构治安综合治理工作，切实解决医疗机构执业环境面临的突出问题，特制定本方案。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一、总体目标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面开展平安医院创建活动，通过采取相应措施，使医疗执业环境明显改善，医疗服务质量明显提高，医院内部医患纠纷、治安事件和安全隐患明显减少，医院治安防控能力明显增强，医患关系更加和谐，医患纠纷调处机制逐步完善，并努力形成平安医院建设长效机制，为人民群众创造安全有序的诊疗环境，促进卫生事业持续健康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二、指导思想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紧密结合医院实际，扎实开展“平安医院”建设，确保广大职工的生命和财产安全，确保正常的医疗秩序，确保医院的稳定，为医院的改革发展创造良好的环境，为“平安医院”建设做出贡献。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三、工作要求</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1.统一思想，提高认识。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设“平安医院”是创造和谐稳定的社会环境，促进卫生事业发展的重要保证。要从维护稳定、促进发展的认识出发，从创造良好的医疗环境的认识出发，把“平安医院”的创建工作摆到更加重要的位置上。在工作时间的安排上要立足经常性，在工作重心上要立足于一线科室，在工作突破上要立足于创新，在工作作风上要立足于务实。切实解决医务人员在民主意识、法制观念、服务意识等方面存在的问题，提高医务人员队伍的思想政治素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2.结合实际，突出重点。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要确立大平安的观念，按照确保大稳定、大安全的要求，对带有普遍性问题予以高度重视，统筹考虑，既要全面抓，更要结合实际突出重点抓。要始终把医院的稳定、患者和职工的生命、财产安全作为建设“平安医院”的重中之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3.立足经常，重在落实。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平安医院”的建设是一项长期性的任务，需要长期抓，经常抓，既要有长期的计划，又要有短期的安排，各医疗机构要把“平安医院”的建设作为一项经常性的工作来抓，把“平安医院”建设的各项工作任务落到实处，务求取得实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4.加强宣传，营造氛围。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平安医院”的建设是造福广大医务人员和患者的一项重要举措，也是需要广大医务人员共同参与的一项重要工作。通过多种形式的广泛宣传，努力营造人人关心、人人支持、人人参与“平安医院”建设的浓厚氛围。充分调动广大医务人员参与建设“平安医院”的积极性和创造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四、主要措施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1.切实改善医疗服务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加强医德医风和医疗法律法规、规章制度教育，使广大医务人员进一步树立全心全意为病人服务的思想，坚持“以病人为中心”的服务理念，不断提高医疗服务水平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创新服务流程，优化诊疗环境。建立医疗费用公</w:t>
      </w:r>
      <w:r>
        <w:rPr>
          <w:rFonts w:hint="eastAsia" w:ascii="仿宋_GB2312" w:hAnsi="仿宋_GB2312" w:eastAsia="仿宋_GB2312" w:cs="仿宋_GB2312"/>
          <w:sz w:val="32"/>
          <w:szCs w:val="32"/>
          <w:lang w:eastAsia="zh-CN"/>
        </w:rPr>
        <w:t>开透明制度，</w:t>
      </w:r>
      <w:r>
        <w:rPr>
          <w:rFonts w:hint="eastAsia" w:ascii="仿宋_GB2312" w:hAnsi="仿宋_GB2312" w:eastAsia="仿宋_GB2312" w:cs="仿宋_GB2312"/>
          <w:sz w:val="32"/>
          <w:szCs w:val="32"/>
        </w:rPr>
        <w:t>住院病人实行一日一清单制度。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加强医患沟通，</w:t>
      </w:r>
      <w:r>
        <w:rPr>
          <w:rFonts w:hint="eastAsia" w:ascii="仿宋_GB2312" w:hAnsi="仿宋_GB2312" w:eastAsia="仿宋_GB2312" w:cs="仿宋_GB2312"/>
          <w:sz w:val="32"/>
          <w:szCs w:val="32"/>
        </w:rPr>
        <w:t>完善沟通内容，改进沟通方式，注重沟通效果。结合开展医院管理年、乡镇卫生院就医环境整治、县医疗质量提升年等活动，切实加强医院基础管理，建立健全医疗安全管理组织，落实各项核心医疗工作制度和安全措施，保证医疗仪器设备合法、合理、安全使用，避免发生医疗差错和事故。严格技术准入制度，规范医疗执业行为。认真贯彻《药品管理法</w:t>
      </w:r>
      <w:r>
        <w:rPr>
          <w:rFonts w:hint="eastAsia" w:ascii="仿宋_GB2312" w:hAnsi="仿宋_GB2312" w:eastAsia="仿宋_GB2312" w:cs="仿宋_GB2312"/>
          <w:sz w:val="32"/>
          <w:szCs w:val="32"/>
          <w:lang w:eastAsia="zh-CN"/>
        </w:rPr>
        <w:t>》《医疗器械监督</w:t>
      </w:r>
      <w:r>
        <w:rPr>
          <w:rFonts w:hint="eastAsia" w:ascii="仿宋_GB2312" w:hAnsi="仿宋_GB2312" w:eastAsia="仿宋_GB2312" w:cs="仿宋_GB2312"/>
          <w:sz w:val="32"/>
          <w:szCs w:val="32"/>
        </w:rPr>
        <w:t>管理条例》，加强药品、医疗器械采购、储存、使用的监督管理</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2.切实提高医疗服务质量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医疗质量安全事关群众的健康安危，是医疗服务的生命线，是医院管理的核心内容和永恒主题，创建平安医院首先要提高医疗质量，提升服务水平，加强医疗质量管理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狠抓规章制度的落实</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时刻坚持“以病人为 以质量安全为主题，认真落实各项规章制度、岗位职责，严格执行诊疗技术常规，把各项制度落实到各个环节之中。加强医疗文书质量管理，强化“三基三严”训练，不定期举行各级各类人员技术比武，确保医疗技术人员自身技术素质的不断完善和更新，全面提高了医务人员业务素质，为创建平安医院打下坚实的业务基础。 </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 xml:space="preserve">依法妥善处置医患纠纷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依据《医疗事故处理条例》</w:t>
      </w:r>
      <w:r>
        <w:rPr>
          <w:rFonts w:hint="eastAsia" w:ascii="仿宋_GB2312" w:hAnsi="仿宋_GB2312" w:eastAsia="仿宋_GB2312" w:cs="仿宋_GB2312"/>
          <w:sz w:val="32"/>
          <w:szCs w:val="32"/>
          <w:lang w:eastAsia="zh-CN"/>
        </w:rPr>
        <w:t>、《医疗纠纷预防和处理条例》</w:t>
      </w:r>
      <w:r>
        <w:rPr>
          <w:rFonts w:hint="eastAsia" w:ascii="仿宋_GB2312" w:hAnsi="仿宋_GB2312" w:eastAsia="仿宋_GB2312" w:cs="仿宋_GB2312"/>
          <w:sz w:val="32"/>
          <w:szCs w:val="32"/>
        </w:rPr>
        <w:t>和有关法律法规，进一步完善医疗纠纷处置的法制化、规范化建设，维护医患双方的合法权益。积极推进医疗责任保险制度，把医疗责任保险与医患纠纷调解处理有机结合起来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依据有关法律法规，把医患纠纷处置纳入法制化、规范化轨道，维护医患双方的合法权益，制定医患纠纷预防处置预案，依法妥善处理好医患纠纷。坚持预防在先、发现在早、处置在小的原则，建立健全医患纠纷预防处置机制，周密落实相关防控措施，并运用综合手段，努力化解各类医患纠纷，防止因医患纠纷引发群体性事件和恶性事件，严肃查处和打击严重影响医疗秩序、危害医务人员人身安全的违法犯罪行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4.完善医疗机构内部安全防范体系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定期组织重点安全岗位工作人员进修学习和培训，加强医院内部技防设施建设。落实安全生产责任制，开展经常性安全检查，加强消防安全工作，及时消除安全隐患。制定和完善防灾害事故、防群体性事件等制度和措施，以及应对相应突发事件的应急处置预案，疏通应急疏散通道并定期组织演练。加强医院内部重要部门和重点科室的安全管理。</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Chars="0" w:right="0" w:rightChars="0" w:firstLine="675" w:firstLineChars="200"/>
        <w:jc w:val="both"/>
        <w:rPr>
          <w:rFonts w:hint="eastAsia" w:ascii="仿宋_GB2312" w:hAnsi="仿宋_GB2312" w:eastAsia="仿宋_GB2312" w:cs="仿宋_GB2312"/>
          <w:i w:val="0"/>
          <w:iCs w:val="0"/>
          <w:caps w:val="0"/>
          <w:spacing w:val="8"/>
          <w:sz w:val="32"/>
          <w:szCs w:val="32"/>
        </w:rPr>
      </w:pPr>
      <w:r>
        <w:rPr>
          <w:rFonts w:hint="eastAsia" w:ascii="仿宋_GB2312" w:hAnsi="仿宋_GB2312" w:eastAsia="仿宋_GB2312" w:cs="仿宋_GB2312"/>
          <w:b/>
          <w:bCs/>
          <w:i w:val="0"/>
          <w:iCs w:val="0"/>
          <w:caps w:val="0"/>
          <w:spacing w:val="8"/>
          <w:sz w:val="32"/>
          <w:szCs w:val="32"/>
          <w:lang w:val="en-US" w:eastAsia="zh-CN"/>
        </w:rPr>
        <w:t>5.</w:t>
      </w:r>
      <w:r>
        <w:rPr>
          <w:rFonts w:hint="eastAsia" w:ascii="仿宋_GB2312" w:hAnsi="仿宋_GB2312" w:eastAsia="仿宋_GB2312" w:cs="仿宋_GB2312"/>
          <w:b/>
          <w:bCs/>
          <w:i w:val="0"/>
          <w:iCs w:val="0"/>
          <w:caps w:val="0"/>
          <w:spacing w:val="8"/>
          <w:sz w:val="32"/>
          <w:szCs w:val="32"/>
        </w:rPr>
        <w:t>保持对涉医违法犯罪严打高压态势</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Chars="0" w:right="0" w:rightChars="0" w:firstLine="672" w:firstLineChars="200"/>
        <w:jc w:val="both"/>
        <w:rPr>
          <w:rFonts w:hint="eastAsia" w:ascii="仿宋_GB2312" w:hAnsi="仿宋_GB2312" w:eastAsia="仿宋_GB2312" w:cs="仿宋_GB2312"/>
          <w:i w:val="0"/>
          <w:iCs w:val="0"/>
          <w:caps w:val="0"/>
          <w:spacing w:val="8"/>
          <w:sz w:val="32"/>
          <w:szCs w:val="32"/>
        </w:rPr>
      </w:pPr>
      <w:r>
        <w:rPr>
          <w:rFonts w:hint="eastAsia" w:ascii="仿宋_GB2312" w:hAnsi="仿宋_GB2312" w:eastAsia="仿宋_GB2312" w:cs="仿宋_GB2312"/>
          <w:i w:val="0"/>
          <w:iCs w:val="0"/>
          <w:caps w:val="0"/>
          <w:spacing w:val="8"/>
          <w:sz w:val="32"/>
          <w:szCs w:val="32"/>
        </w:rPr>
        <w:t>公安机关应当按照《关于依法惩处涉医违法犯罪维护正常医疗秩序的意见》和《公安机关维护医疗机构治安秩序六条措施》等要求，依法严厉查处、打击各类涉医违法犯罪活动。对持凶器伤害医务人员、严重威胁医务人员安全的，要依法采取一切必要措施果断制止，涉嫌犯罪的要依法立案查处。 </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672" w:leftChars="0" w:right="0" w:rightChars="0"/>
        <w:jc w:val="both"/>
        <w:rPr>
          <w:rFonts w:hint="eastAsia" w:ascii="仿宋_GB2312" w:hAnsi="仿宋_GB2312" w:eastAsia="仿宋_GB2312" w:cs="仿宋_GB2312"/>
          <w:b/>
          <w:bCs/>
          <w:i w:val="0"/>
          <w:iCs w:val="0"/>
          <w:caps w:val="0"/>
          <w:spacing w:val="8"/>
          <w:sz w:val="32"/>
          <w:szCs w:val="32"/>
        </w:rPr>
      </w:pPr>
      <w:r>
        <w:rPr>
          <w:rFonts w:hint="eastAsia" w:ascii="仿宋_GB2312" w:hAnsi="仿宋_GB2312" w:eastAsia="仿宋_GB2312" w:cs="仿宋_GB2312"/>
          <w:b/>
          <w:bCs/>
          <w:i w:val="0"/>
          <w:iCs w:val="0"/>
          <w:caps w:val="0"/>
          <w:spacing w:val="8"/>
          <w:sz w:val="32"/>
          <w:szCs w:val="32"/>
          <w:lang w:val="en-US" w:eastAsia="zh-CN"/>
        </w:rPr>
        <w:t>6.</w:t>
      </w:r>
      <w:r>
        <w:rPr>
          <w:rFonts w:hint="eastAsia" w:ascii="仿宋_GB2312" w:hAnsi="仿宋_GB2312" w:eastAsia="仿宋_GB2312" w:cs="仿宋_GB2312"/>
          <w:b/>
          <w:bCs/>
          <w:i w:val="0"/>
          <w:iCs w:val="0"/>
          <w:caps w:val="0"/>
          <w:spacing w:val="8"/>
          <w:sz w:val="32"/>
          <w:szCs w:val="32"/>
        </w:rPr>
        <w:t>完善警医联动机制</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公安机关要按照社会治安防控体系的总体要求，进一步强化医疗机构及周边地区巡逻防控，会同相关部门积极开展对医院周边治安秩序清理整治，确保周边良好治安环境。公安机关、</w:t>
      </w:r>
      <w:r>
        <w:rPr>
          <w:rFonts w:hint="eastAsia" w:ascii="仿宋_GB2312" w:hAnsi="仿宋_GB2312" w:eastAsia="仿宋_GB2312" w:cs="仿宋_GB2312"/>
          <w:sz w:val="32"/>
          <w:szCs w:val="32"/>
          <w:lang w:eastAsia="zh-CN"/>
        </w:rPr>
        <w:t>卫生健康</w:t>
      </w:r>
      <w:r>
        <w:rPr>
          <w:rFonts w:hint="eastAsia" w:ascii="仿宋_GB2312" w:hAnsi="仿宋_GB2312" w:eastAsia="仿宋_GB2312" w:cs="仿宋_GB2312"/>
          <w:sz w:val="32"/>
          <w:szCs w:val="32"/>
        </w:rPr>
        <w:t>行政部门应当指导医院建立健全突发事件处理流程，完善涉医案件处置快速反应机制，提高涉医突发事件现场处置能力，防止事态升级。</w:t>
      </w:r>
      <w:r>
        <w:rPr>
          <w:rFonts w:hint="eastAsia" w:ascii="仿宋_GB2312" w:hAnsi="仿宋_GB2312" w:eastAsia="仿宋_GB2312" w:cs="仿宋_GB2312"/>
          <w:sz w:val="32"/>
          <w:szCs w:val="32"/>
          <w:lang w:eastAsia="zh-CN"/>
        </w:rPr>
        <w:t>卫生健康</w:t>
      </w:r>
      <w:r>
        <w:rPr>
          <w:rFonts w:hint="eastAsia" w:ascii="仿宋_GB2312" w:hAnsi="仿宋_GB2312" w:eastAsia="仿宋_GB2312" w:cs="仿宋_GB2312"/>
          <w:sz w:val="32"/>
          <w:szCs w:val="32"/>
        </w:rPr>
        <w:t>行政部门要落实专门机构和人员与公安机关对接，建立有效的信息沟通机制,负责案事件现场处置的公安机关应当及时将处置情况和下一步可能采取的处理意见通报医疗机构和同级</w:t>
      </w:r>
      <w:r>
        <w:rPr>
          <w:rFonts w:hint="eastAsia" w:ascii="仿宋_GB2312" w:hAnsi="仿宋_GB2312" w:eastAsia="仿宋_GB2312" w:cs="仿宋_GB2312"/>
          <w:sz w:val="32"/>
          <w:szCs w:val="32"/>
          <w:lang w:eastAsia="zh-CN"/>
        </w:rPr>
        <w:t>卫生健康</w:t>
      </w:r>
      <w:r>
        <w:rPr>
          <w:rFonts w:hint="eastAsia" w:ascii="仿宋_GB2312" w:hAnsi="仿宋_GB2312" w:eastAsia="仿宋_GB2312" w:cs="仿宋_GB2312"/>
          <w:sz w:val="32"/>
          <w:szCs w:val="32"/>
        </w:rPr>
        <w:t>行政部门，医疗机构应当做好医务人员的情绪安抚和宣传解释工作，确保内部稳定。 二级以上医院要</w:t>
      </w:r>
      <w:r>
        <w:rPr>
          <w:rFonts w:hint="eastAsia" w:ascii="仿宋_GB2312" w:hAnsi="仿宋_GB2312" w:eastAsia="仿宋_GB2312" w:cs="仿宋_GB2312"/>
          <w:sz w:val="32"/>
          <w:szCs w:val="32"/>
          <w:lang w:eastAsia="zh-CN"/>
        </w:rPr>
        <w:t>协调</w:t>
      </w:r>
      <w:r>
        <w:rPr>
          <w:rFonts w:hint="eastAsia" w:ascii="仿宋_GB2312" w:hAnsi="仿宋_GB2312" w:eastAsia="仿宋_GB2312" w:cs="仿宋_GB2312"/>
          <w:sz w:val="32"/>
          <w:szCs w:val="32"/>
        </w:rPr>
        <w:t>公安机关设立警务室或治安室并落实相关职责。医疗机构要严格落实主要负责人治安保卫责任，完善各项治安保卫制度。公安机关要对医疗机构的内部治安保卫工作加强指导、监督。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7.</w:t>
      </w:r>
      <w:r>
        <w:rPr>
          <w:rFonts w:hint="eastAsia" w:ascii="仿宋_GB2312" w:hAnsi="仿宋_GB2312" w:eastAsia="仿宋_GB2312" w:cs="仿宋_GB2312"/>
          <w:b/>
          <w:bCs/>
          <w:sz w:val="32"/>
          <w:szCs w:val="32"/>
        </w:rPr>
        <w:t>强化安全措施，维护医院治安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面执行医院安全保卫工作，定期组织重点岗位工作人员学习培训，落实各项内部安全保卫措施。定期和不定期地对消防安全进行全面检查，对容易引发火灾、存放危险品及人员集中的场所重点检查(如药库、病房等)，对消防设施进行定期维护更换，确保消防器材完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严格落实科室安全责任制，做好不稳定因素排查，发现问题立即整改。制定人防、物防、技防应急措施，确保全院不出现重大责任事故。</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8</w:t>
      </w:r>
      <w:r>
        <w:rPr>
          <w:rFonts w:hint="eastAsia" w:ascii="仿宋_GB2312" w:hAnsi="仿宋_GB2312" w:eastAsia="仿宋_GB2312" w:cs="仿宋_GB2312"/>
          <w:b/>
          <w:bCs/>
          <w:sz w:val="32"/>
          <w:szCs w:val="32"/>
        </w:rPr>
        <w:t>.加强医德教育，纠正不正之风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化治理商业贿赂，有效预防职务犯罪是创建平安医院的一项重要工作。全面组织开展医德医风教育活动，以新时期医德医风规范教育为抓手，深入开展行业作风建设和职业道德教育，增强服务意识，恪守服务宗旨，提高服务质量，促进行风建设，努力把开展创建人民满意医院(科室)活动落实到实处，抓出成效。建立完善的工作制度和措施，经常组织宣传教育活动，同时强化监督力度，继续开展治理商业贿赂工作，通过自查自纠，查找反映的问题和薄弱环节，建立长效机制，从制度、教育、监督入手，建立和完善齐抓共管的责任机制，纠建并举的预防机制和群众广泛参与的监督机制，防止不正当交易和商业贿赂行为，有效的预防职务犯罪，促进平安医院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五、保障措施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.明确目标，落实职责。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通过开展创建“平安医院”的活动，经过积极努力，确保职工的生命和财产安全，确保正常的诊疗秩序，确保医院稳定运行。层层落实职责，一旦出现问题，要切实抓好责任追究，并追究直接责任人的责任。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.建立平安医院创建活动长效机制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不断总结经验，适时推进创建工作，提高创建质量。要把创建活动与单位的其他工作紧密结合起来，互相促进，互相提高。尤其要做好经常性和基础性工作，在创建活动中要建立健全创建活动的各种档案、台账和资料，努力推进创建活动的制度化、规范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480" w:firstLineChars="1400"/>
        <w:jc w:val="both"/>
        <w:textAlignment w:val="auto"/>
        <w:rPr>
          <w:rFonts w:hint="default" w:ascii="仿宋_GB2312" w:hAnsi="仿宋_GB2312" w:eastAsia="仿宋_GB2312" w:cs="仿宋_GB2312"/>
          <w:sz w:val="32"/>
          <w:szCs w:val="32"/>
          <w:lang w:val="en-US" w:eastAsia="zh-CN"/>
        </w:rPr>
      </w:pPr>
      <w:bookmarkStart w:id="0" w:name="_GoBack"/>
      <w:bookmarkEnd w:id="0"/>
    </w:p>
    <w:sectPr>
      <w:footerReference r:id="rId3" w:type="default"/>
      <w:pgSz w:w="11906" w:h="16838"/>
      <w:pgMar w:top="2098" w:right="1474" w:bottom="1871"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AA2F1FC"/>
    <w:multiLevelType w:val="singleLevel"/>
    <w:tmpl w:val="4AA2F1FC"/>
    <w:lvl w:ilvl="0" w:tentative="0">
      <w:start w:val="3"/>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8953F8"/>
    <w:rsid w:val="14AB3737"/>
    <w:rsid w:val="1AE300CE"/>
    <w:rsid w:val="1B100797"/>
    <w:rsid w:val="20980B5A"/>
    <w:rsid w:val="21B23A18"/>
    <w:rsid w:val="23E629DD"/>
    <w:rsid w:val="277B348D"/>
    <w:rsid w:val="29542197"/>
    <w:rsid w:val="29D137E8"/>
    <w:rsid w:val="2D3D7953"/>
    <w:rsid w:val="2E400F3C"/>
    <w:rsid w:val="32EB2239"/>
    <w:rsid w:val="38983E4E"/>
    <w:rsid w:val="38D566EC"/>
    <w:rsid w:val="3B620744"/>
    <w:rsid w:val="3DDC47DD"/>
    <w:rsid w:val="3EBC016B"/>
    <w:rsid w:val="41C6377B"/>
    <w:rsid w:val="43D61CCF"/>
    <w:rsid w:val="44C81BF8"/>
    <w:rsid w:val="463B406B"/>
    <w:rsid w:val="477E6D1A"/>
    <w:rsid w:val="48495859"/>
    <w:rsid w:val="4F1B712F"/>
    <w:rsid w:val="51E37E30"/>
    <w:rsid w:val="58E16CF4"/>
    <w:rsid w:val="5ACE5056"/>
    <w:rsid w:val="5F2D4A41"/>
    <w:rsid w:val="60A32E5D"/>
    <w:rsid w:val="678135EA"/>
    <w:rsid w:val="6B596BBE"/>
    <w:rsid w:val="6CEE71E8"/>
    <w:rsid w:val="6D474B0E"/>
    <w:rsid w:val="725B146D"/>
    <w:rsid w:val="749A7FE7"/>
    <w:rsid w:val="7E633B8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pc</dc:creator>
  <cp:lastModifiedBy>Administrator</cp:lastModifiedBy>
  <dcterms:modified xsi:type="dcterms:W3CDTF">2022-01-11T07:02:13Z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3FCF7DCFBE0447138B8A61A31988882E</vt:lpwstr>
  </property>
</Properties>
</file>