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right="0" w:rightChars="0"/>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2022年奈曼旗市场监督管理工作计划</w:t>
      </w:r>
      <w:bookmarkEnd w:id="0"/>
    </w:p>
    <w:p>
      <w:pPr>
        <w:keepNext w:val="0"/>
        <w:keepLines w:val="0"/>
        <w:pageBreakBefore w:val="0"/>
        <w:kinsoku/>
        <w:wordWrap/>
        <w:overflowPunct/>
        <w:topLinePunct w:val="0"/>
        <w:autoSpaceDE/>
        <w:autoSpaceDN/>
        <w:bidi w:val="0"/>
        <w:spacing w:line="540" w:lineRule="exact"/>
        <w:ind w:right="0" w:rightChars="0"/>
        <w:jc w:val="center"/>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40" w:lineRule="exact"/>
        <w:ind w:right="0" w:rightChars="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奈曼旗市场监督管理</w:t>
      </w:r>
      <w:r>
        <w:rPr>
          <w:rFonts w:hint="eastAsia" w:ascii="楷体_GB2312" w:hAnsi="楷体_GB2312" w:eastAsia="楷体_GB2312" w:cs="楷体_GB2312"/>
          <w:b w:val="0"/>
          <w:bCs w:val="0"/>
          <w:sz w:val="32"/>
          <w:szCs w:val="32"/>
        </w:rPr>
        <w:t>局</w:t>
      </w:r>
    </w:p>
    <w:p>
      <w:pPr>
        <w:keepNext w:val="0"/>
        <w:keepLines w:val="0"/>
        <w:pageBreakBefore w:val="0"/>
        <w:kinsoku/>
        <w:wordWrap/>
        <w:overflowPunct/>
        <w:topLinePunct w:val="0"/>
        <w:autoSpaceDE/>
        <w:autoSpaceDN/>
        <w:bidi w:val="0"/>
        <w:spacing w:line="540" w:lineRule="exact"/>
        <w:ind w:right="0" w:rightChars="0"/>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rPr>
        <w:t>月）</w:t>
      </w:r>
    </w:p>
    <w:p>
      <w:pPr>
        <w:keepNext w:val="0"/>
        <w:keepLines w:val="0"/>
        <w:pageBreakBefore w:val="0"/>
        <w:kinsoku/>
        <w:wordWrap/>
        <w:overflowPunct/>
        <w:topLinePunct w:val="0"/>
        <w:autoSpaceDE/>
        <w:autoSpaceDN/>
        <w:bidi w:val="0"/>
        <w:spacing w:line="540" w:lineRule="exact"/>
        <w:ind w:right="0" w:rightChars="0"/>
        <w:jc w:val="center"/>
        <w:rPr>
          <w:rFonts w:hint="eastAsia" w:ascii="仿宋_GB2312" w:hAnsi="仿宋_GB2312" w:eastAsia="仿宋_GB2312" w:cs="仿宋_GB2312"/>
          <w:sz w:val="32"/>
          <w:szCs w:val="32"/>
        </w:rPr>
      </w:pPr>
    </w:p>
    <w:p>
      <w:pPr>
        <w:keepNext w:val="0"/>
        <w:keepLines w:val="0"/>
        <w:pageBreakBefore w:val="0"/>
        <w:tabs>
          <w:tab w:val="left" w:pos="8306"/>
        </w:tabs>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年，全旗市场监管工作总的要求是：认真贯彻落实国家、自治区、通辽市三级市场监管工作会议精神，围绕党的十九届六中全会精神、市第六次党代会精神、旗第十三次党代会精神，突出重点，强化责任，真抓实干，奋勇争先，坚持稳中求进的工作总基调，坚持立足新发展阶段、贯彻新发展理念、服务新发展格局，继续做好“六稳”工作、落实“六保”任务，把握“大市场、大质量、大监管”，推动全旗市场监管事业“十四五”关键之年顺利过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baseline"/>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一、立足构建“大市场”，高效融入新发展格局</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深化商事制度改革，持续改善营商环境。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自2021年7月19日起，食品经营许可等22项</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已</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全部划转奈曼旗行政审批和政务服务局负责办理。2022年</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继续落实好上级简政放权、便民利民相关措施，做好和政务服务局对接工作，</w:t>
      </w:r>
      <w:r>
        <w:rPr>
          <w:rFonts w:hint="eastAsia" w:ascii="仿宋_GB2312" w:hAnsi="仿宋_GB2312" w:eastAsia="仿宋_GB2312" w:cs="仿宋_GB2312"/>
          <w:sz w:val="32"/>
          <w:szCs w:val="32"/>
          <w:lang w:eastAsia="zh-CN"/>
        </w:rPr>
        <w:t>继续以</w:t>
      </w:r>
      <w:r>
        <w:rPr>
          <w:rFonts w:hint="eastAsia" w:ascii="仿宋_GB2312" w:hAnsi="仿宋_GB2312" w:eastAsia="仿宋_GB2312" w:cs="仿宋_GB2312"/>
          <w:color w:val="000000" w:themeColor="text1"/>
          <w:sz w:val="32"/>
          <w:szCs w:val="32"/>
          <w:lang w:eastAsia="zh-CN"/>
          <w14:textFill>
            <w14:solidFill>
              <w14:schemeClr w14:val="tx1"/>
            </w14:solidFill>
          </w14:textFill>
        </w:rPr>
        <w:t>“清风引领”创新社会治理</w:t>
      </w:r>
      <w:r>
        <w:rPr>
          <w:rFonts w:hint="eastAsia" w:ascii="仿宋_GB2312" w:hAnsi="仿宋_GB2312" w:eastAsia="仿宋_GB2312" w:cs="仿宋_GB2312"/>
          <w:sz w:val="32"/>
          <w:szCs w:val="32"/>
          <w:lang w:eastAsia="zh-CN"/>
        </w:rPr>
        <w:t>行动为抓手，推进“放管服”改革，重点在提升便利化水平、完善监管机制、增强服务效能上拿出创新性、制度性方案，最大程度解决影响营商环境的突出问题，最大限度地释放市场活力。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baseline"/>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提高消费供给质量，建设安全放心的消费环境。</w:t>
      </w:r>
      <w:r>
        <w:rPr>
          <w:rFonts w:hint="eastAsia" w:ascii="仿宋_GB2312" w:hAnsi="仿宋_GB2312" w:eastAsia="仿宋_GB2312" w:cs="仿宋_GB2312"/>
          <w:color w:val="000000" w:themeColor="text1"/>
          <w:sz w:val="32"/>
          <w:szCs w:val="32"/>
          <w14:textFill>
            <w14:solidFill>
              <w14:schemeClr w14:val="tx1"/>
            </w14:solidFill>
          </w14:textFill>
        </w:rPr>
        <w:t>针对广大人民群众十分关心的“衣食住行”领域的痛点难点堵点问题开展专项整治，不断提升人民群众的获得感、幸福感和安全感，为促进高质量发展营造良好的市场环境；强化消费维权工作，进一步整合投诉举报、咨询信访渠道，实现一中心负责、一平台处置。积极妥善处置各类投诉举报，确保程序合法、处置及时，通过消费维权工作让更多的消费者感受到放心、品质、享受的消费体验，增强消费对全旗经济增长的拉动作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baseline"/>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强化竞争政策落实，营造公平有序的竞争环境</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深入推进扫黑除恶专项斗争，重点加大对各类制假售假、商标侵权、虚假广告、传销、垄断和不正当竞争等经济违法行为的查处力度，开展文明集贸市场、商场、超市创建活动，坚决杜绝欺行霸市、强买强卖、哄抬物价等现象发生，切实维护市场秩序，强化反垄断和反不正当竞争法，严厉打击不正当竞争行为，抓好直销监管和打击传销专项执法，深入开展网剑行动，严厉打击违法行为，组织网络市场监管与服务示范区创建工作，加大各领域的广告监测 、执法和督办力度。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baseline"/>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二、着力提升“大质量”，全面助力高质量发展</w:t>
      </w:r>
    </w:p>
    <w:p>
      <w:pPr>
        <w:keepNext w:val="0"/>
        <w:keepLines w:val="0"/>
        <w:pageBreakBefore w:val="0"/>
        <w:numPr>
          <w:ilvl w:val="0"/>
          <w:numId w:val="0"/>
        </w:numPr>
        <w:kinsoku/>
        <w:wordWrap/>
        <w:overflowPunct/>
        <w:topLinePunct w:val="0"/>
        <w:autoSpaceDE/>
        <w:autoSpaceDN/>
        <w:bidi w:val="0"/>
        <w:spacing w:line="540" w:lineRule="exact"/>
        <w:ind w:right="0" w:rightChars="0" w:firstLine="643" w:firstLineChars="200"/>
        <w:rPr>
          <w:rFonts w:hint="eastAsia" w:ascii="仿宋_GB2312" w:hAnsi="仿宋_GB2312" w:eastAsia="仿宋_GB2312" w:cs="仿宋_GB2312"/>
          <w:b/>
          <w:bCs/>
          <w:sz w:val="32"/>
          <w:szCs w:val="32"/>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突出发展，</w:t>
      </w:r>
      <w:r>
        <w:rPr>
          <w:rFonts w:hint="eastAsia" w:ascii="楷体_GB2312" w:hAnsi="楷体_GB2312" w:eastAsia="楷体_GB2312" w:cs="楷体_GB2312"/>
          <w:b/>
          <w:bCs/>
          <w:color w:val="000000" w:themeColor="text1"/>
          <w:sz w:val="32"/>
          <w:szCs w:val="32"/>
          <w14:textFill>
            <w14:solidFill>
              <w14:schemeClr w14:val="tx1"/>
            </w14:solidFill>
          </w14:textFill>
        </w:rPr>
        <w:t>实施质量提升行动。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深入实施质量强旗战略，加强统筹规划和统一管理计量、标准化、检验检测、认证认可等质量基础设施，通过改革创新，为提升产业基础能力和产业链现代化水平提供技术支撑。</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一是深入实施“蒙”字标认证。</w:t>
      </w:r>
      <w:r>
        <w:rPr>
          <w:rFonts w:hint="eastAsia" w:ascii="仿宋_GB2312" w:hAnsi="仿宋_GB2312" w:eastAsia="仿宋_GB2312" w:cs="仿宋_GB2312"/>
          <w:color w:val="000000" w:themeColor="text1"/>
          <w:sz w:val="32"/>
          <w:szCs w:val="32"/>
          <w:lang w:eastAsia="zh-CN"/>
          <w14:textFill>
            <w14:solidFill>
              <w14:schemeClr w14:val="tx1"/>
            </w14:solidFill>
          </w14:textFill>
        </w:rPr>
        <w:t>加快建立蒙中药材种植等高质量标准体系，全力推动“蒙字标”认证，打造品牌行动，以“奈曼旗蒙中药材种植农业综合标准化试点”项目建设为载体，高标准打造蒙中药材标准化种植示范基地，编制蒙中药材主推品种标准。</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二是深入开展标准化提升行动。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建立和扩大农业标准示范区，引导美丽乡村标准化项目建设，加大示范区项目指导帮扶工作力度。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持续推进高质量标准体系试点项目建设和“蒙”字标认证，提升优质农畜产品的品牌附加值和影响力。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开展企业产品标准自我声明公开工作，做好对标准制定声明的指导和监督工作，对标准的实施进行监督检查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三是深入开展计量惠民工作。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督促监管辖区企业通过e-CQS国家强制检定工作计量器具业务管理系统进行网上备案工作，持续开展计量惠民检定和计量器具专项检查监督工作，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摸清辖区强制检定计量器具数量，全面掌握在用计量器具基本情况，做好定量包装生产、销售企业日常计量监管，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积极营造公平公正的消费环境。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四是深入开展认证认可检验检测工作。</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我旗12家</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各类检测机构按分类监管要求开展监督检查，配合市局</w:t>
      </w:r>
      <w:r>
        <w:rPr>
          <w:rFonts w:hint="eastAsia" w:ascii="仿宋_GB2312" w:hAnsi="仿宋_GB2312" w:eastAsia="仿宋_GB2312" w:cs="仿宋_GB2312"/>
          <w:color w:val="000000" w:themeColor="text1"/>
          <w:sz w:val="32"/>
          <w:szCs w:val="32"/>
          <w14:textFill>
            <w14:solidFill>
              <w14:schemeClr w14:val="tx1"/>
            </w14:solidFill>
          </w14:textFill>
        </w:rPr>
        <w:t>加强对绿色、有机、无公害认证活动监督检查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联合认证机构对中小微企业开展质量认证帮扶活动和免费培训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五是助推奶制品产业振兴。</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加快传统奶制品产业发展，推动产品预包装、商标注册，拓宽营销平台和销售手段，形成区域品牌。</w:t>
      </w:r>
    </w:p>
    <w:p>
      <w:pPr>
        <w:keepNext w:val="0"/>
        <w:keepLines w:val="0"/>
        <w:pageBreakBefore w:val="0"/>
        <w:kinsoku/>
        <w:wordWrap/>
        <w:overflowPunct/>
        <w:topLinePunct w:val="0"/>
        <w:autoSpaceDE/>
        <w:autoSpaceDN/>
        <w:bidi w:val="0"/>
        <w:spacing w:after="0" w:line="54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强化知识产权对创新的作用，保护和激发市场主体活力。</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加强知识产权保护工作，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深入开展打击侵犯知识产权和制售假冒伪劣商品专项行动，</w:t>
      </w:r>
      <w:r>
        <w:rPr>
          <w:rFonts w:hint="eastAsia" w:ascii="仿宋_GB2312" w:hAnsi="仿宋_GB2312" w:eastAsia="仿宋_GB2312" w:cs="仿宋_GB2312"/>
          <w:color w:val="000000" w:themeColor="text1"/>
          <w:sz w:val="32"/>
          <w:szCs w:val="32"/>
          <w14:textFill>
            <w14:solidFill>
              <w14:schemeClr w14:val="tx1"/>
            </w14:solidFill>
          </w14:textFill>
        </w:rPr>
        <w:t>建立健全部门、社会、市场、消费者的协同机制，形成共治格局，</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有效遏制各类侵犯知识产权违法行为。</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加大对商标、地理标志证明商标、知名商品特有名称保护力度，严厉打击侵犯知识产权行为。年内申请注册地理标志证明商标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4个。建立完善专利培育服务机制，提高专利拥有量。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baseline"/>
        <w:rPr>
          <w:rFonts w:hint="eastAsia" w:ascii="黑体" w:hAnsi="黑体" w:eastAsia="黑体" w:cs="黑体"/>
          <w:b w:val="0"/>
          <w:bCs w:val="0"/>
          <w:color w:val="000000" w:themeColor="text1"/>
          <w:ker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三、强化做实“大监管”，有效守住安全发展底线</w:t>
      </w:r>
    </w:p>
    <w:p>
      <w:pPr>
        <w:keepNext w:val="0"/>
        <w:keepLines w:val="0"/>
        <w:pageBreakBefore w:val="0"/>
        <w:kinsoku/>
        <w:wordWrap/>
        <w:overflowPunct/>
        <w:topLinePunct w:val="0"/>
        <w:autoSpaceDE/>
        <w:autoSpaceDN/>
        <w:bidi w:val="0"/>
        <w:spacing w:line="540" w:lineRule="exact"/>
        <w:ind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抓住重点领域安全监管。</w:t>
      </w:r>
      <w:r>
        <w:rPr>
          <w:rFonts w:hint="eastAsia" w:ascii="仿宋_GB2312" w:hAnsi="仿宋_GB2312" w:eastAsia="仿宋_GB2312" w:cs="仿宋_GB2312"/>
          <w:sz w:val="32"/>
          <w:szCs w:val="32"/>
        </w:rPr>
        <w:t>围绕食品、药品、特种设备、重要工业产品质量安全，继续完善风险点责任链机制，以智慧监管为支撑，强化日常监管、监督抽查，推进落实企业主体责任和部门监管责任，坚决防止出现系统性、区域性市场监管安全风险。</w:t>
      </w:r>
      <w:r>
        <w:rPr>
          <w:rFonts w:hint="eastAsia" w:ascii="仿宋_GB2312" w:hAnsi="仿宋_GB2312" w:eastAsia="仿宋_GB2312" w:cs="仿宋_GB2312"/>
          <w:b/>
          <w:color w:val="000000" w:themeColor="text1"/>
          <w:sz w:val="32"/>
          <w:szCs w:val="32"/>
          <w14:textFill>
            <w14:solidFill>
              <w14:schemeClr w14:val="tx1"/>
            </w14:solidFill>
          </w14:textFill>
        </w:rPr>
        <w:t>一是要加强食品药品安全监管。</w:t>
      </w:r>
      <w:r>
        <w:rPr>
          <w:rFonts w:hint="eastAsia" w:ascii="仿宋_GB2312" w:hAnsi="仿宋_GB2312" w:eastAsia="仿宋_GB2312" w:cs="仿宋_GB2312"/>
          <w:color w:val="000000" w:themeColor="text1"/>
          <w:sz w:val="32"/>
          <w:szCs w:val="32"/>
          <w14:textFill>
            <w14:solidFill>
              <w14:schemeClr w14:val="tx1"/>
            </w14:solidFill>
          </w14:textFill>
        </w:rPr>
        <w:t>切实把食品药品安全工作作为重大政治任务来抓，落实“四个最严”要求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，大力推进餐饮质量安全提升行动和网络餐饮安全风险管理；</w:t>
      </w:r>
      <w:r>
        <w:rPr>
          <w:rFonts w:hint="eastAsia" w:ascii="仿宋_GB2312" w:hAnsi="仿宋_GB2312" w:eastAsia="仿宋_GB2312" w:cs="仿宋_GB2312"/>
          <w:color w:val="000000" w:themeColor="text1"/>
          <w:sz w:val="32"/>
          <w:szCs w:val="32"/>
          <w14:textFill>
            <w14:solidFill>
              <w14:schemeClr w14:val="tx1"/>
            </w14:solidFill>
          </w14:textFill>
        </w:rPr>
        <w:t>持续加大农村牧区食品安全治理工作力度，重点加强对婴幼儿食品安全、校园食品安全、网络餐饮服务食品安全监管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强化对重点食品的监督抽检和重点问题的风险监测，及时向社会公布监督抽检和不合格食品处置结果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在全旗餐饮服务单位开展以量化分级提档升级、“名厨亮灶”和推行“五化”管理模式为主要内容的“厨房革命”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四品一械”生产、流通、使用等环节的风险隐患排查，突出重点环节、重点品种、重点时段的专项治理，着力解决非法添加、违禁超限、制假售假等突出问题。严格落实新修订的疫苗管理法，开展药械不良反应（事件）监测，完善风险发现、评估、处置和交流工作机制。</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加强</w:t>
      </w:r>
      <w:r>
        <w:rPr>
          <w:rFonts w:hint="eastAsia" w:ascii="仿宋_GB2312" w:hAnsi="仿宋_GB2312" w:eastAsia="仿宋_GB2312" w:cs="仿宋_GB2312"/>
          <w:b/>
          <w:bCs/>
          <w:color w:val="000000" w:themeColor="text1"/>
          <w:sz w:val="32"/>
          <w:szCs w:val="32"/>
          <w14:textFill>
            <w14:solidFill>
              <w14:schemeClr w14:val="tx1"/>
            </w14:solidFill>
          </w14:textFill>
        </w:rPr>
        <w:t>特种设备安全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监管</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重点对涉及生命安全、危险性较大的锅炉、压力容器、压力管道、电梯、起重机械、大型游乐设施设备开展安全隐患排查治理</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，切实保障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重大节假日</w:t>
      </w:r>
      <w:r>
        <w:rPr>
          <w:rFonts w:hint="eastAsia" w:ascii="仿宋_GB2312" w:hAnsi="仿宋_GB2312" w:eastAsia="仿宋_GB2312" w:cs="仿宋_GB2312"/>
          <w:color w:val="000000" w:themeColor="text1"/>
          <w:sz w:val="32"/>
          <w:szCs w:val="32"/>
          <w14:textFill>
            <w14:solidFill>
              <w14:schemeClr w14:val="tx1"/>
            </w14:solidFill>
          </w14:textFill>
        </w:rPr>
        <w:t>涉及公共安全的特种设备安全运行。加大对生产单位证后监督检查力度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，建立健全电梯、气瓶特种设备质量追溯体系。深化双重预防工作机制，推进风险管控和隐患排查治理，</w:t>
      </w:r>
      <w:r>
        <w:rPr>
          <w:rFonts w:hint="eastAsia" w:ascii="仿宋_GB2312" w:hAnsi="仿宋_GB2312" w:eastAsia="仿宋_GB2312" w:cs="仿宋_GB2312"/>
          <w:color w:val="000000" w:themeColor="text1"/>
          <w:sz w:val="32"/>
          <w:szCs w:val="32"/>
          <w14:textFill>
            <w14:solidFill>
              <w14:schemeClr w14:val="tx1"/>
            </w14:solidFill>
          </w14:textFill>
        </w:rPr>
        <w:t>健全特种设备应急救援体系，完善应急管理制度，提高应急处置能力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三是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加强</w:t>
      </w:r>
      <w:r>
        <w:rPr>
          <w:rFonts w:hint="eastAsia" w:ascii="仿宋_GB2312" w:hAnsi="仿宋_GB2312" w:eastAsia="仿宋_GB2312" w:cs="仿宋_GB2312"/>
          <w:b/>
          <w:bCs/>
          <w:color w:val="000000" w:themeColor="text1"/>
          <w:sz w:val="32"/>
          <w:szCs w:val="32"/>
          <w14:textFill>
            <w14:solidFill>
              <w14:schemeClr w14:val="tx1"/>
            </w14:solidFill>
          </w14:textFill>
        </w:rPr>
        <w:t>重要工业产品质量安全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监管</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加大对农资市场检查力度，严厉打击制售假冒伪劣农药、化肥、滴管带等农资违法行为，防止坑农害农现象发生。</w:t>
      </w:r>
      <w:r>
        <w:rPr>
          <w:rFonts w:hint="eastAsia" w:ascii="仿宋_GB2312" w:hAnsi="仿宋_GB2312" w:eastAsia="仿宋_GB2312" w:cs="仿宋_GB2312"/>
          <w:color w:val="000000" w:themeColor="text1"/>
          <w:sz w:val="32"/>
          <w:szCs w:val="32"/>
          <w14:textFill>
            <w14:solidFill>
              <w14:schemeClr w14:val="tx1"/>
            </w14:solidFill>
          </w14:textFill>
        </w:rPr>
        <w:t>强化对</w:t>
      </w:r>
      <w:r>
        <w:rPr>
          <w:rFonts w:hint="eastAsia" w:ascii="仿宋_GB2312" w:hAnsi="仿宋_GB2312" w:eastAsia="仿宋_GB2312" w:cs="仿宋_GB2312"/>
          <w:color w:val="000000" w:themeColor="text1"/>
          <w:sz w:val="32"/>
          <w:szCs w:val="32"/>
          <w:lang w:eastAsia="zh-CN"/>
          <w14:textFill>
            <w14:solidFill>
              <w14:schemeClr w14:val="tx1"/>
            </w14:solidFill>
          </w14:textFill>
        </w:rPr>
        <w:t>妇女、儿童、学生等特殊群体用品、家居用品、服装鞋帽等消费品及危险化学品、成品油</w:t>
      </w:r>
      <w:r>
        <w:rPr>
          <w:rFonts w:hint="eastAsia" w:ascii="仿宋_GB2312" w:hAnsi="仿宋_GB2312" w:eastAsia="仿宋_GB2312" w:cs="仿宋_GB2312"/>
          <w:color w:val="000000" w:themeColor="text1"/>
          <w:sz w:val="32"/>
          <w:szCs w:val="32"/>
          <w14:textFill>
            <w14:solidFill>
              <w14:schemeClr w14:val="tx1"/>
            </w14:solidFill>
          </w14:textFill>
        </w:rPr>
        <w:t>、电线电缆、</w:t>
      </w:r>
      <w:r>
        <w:rPr>
          <w:rFonts w:hint="eastAsia" w:ascii="仿宋_GB2312" w:hAnsi="仿宋_GB2312" w:eastAsia="仿宋_GB2312" w:cs="仿宋_GB2312"/>
          <w:color w:val="000000" w:themeColor="text1"/>
          <w:sz w:val="32"/>
          <w:szCs w:val="32"/>
          <w:lang w:eastAsia="zh-CN"/>
          <w14:textFill>
            <w14:solidFill>
              <w14:schemeClr w14:val="tx1"/>
            </w14:solidFill>
          </w14:textFill>
        </w:rPr>
        <w:t>防爆电气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煤炭</w:t>
      </w:r>
      <w:r>
        <w:rPr>
          <w:rFonts w:hint="eastAsia" w:ascii="仿宋_GB2312" w:hAnsi="仿宋_GB2312" w:eastAsia="仿宋_GB2312" w:cs="仿宋_GB2312"/>
          <w:color w:val="000000" w:themeColor="text1"/>
          <w:sz w:val="32"/>
          <w:szCs w:val="32"/>
          <w14:textFill>
            <w14:solidFill>
              <w14:schemeClr w14:val="tx1"/>
            </w14:solidFill>
          </w14:textFill>
        </w:rPr>
        <w:t>等产品监管，</w:t>
      </w:r>
      <w:r>
        <w:rPr>
          <w:rFonts w:hint="eastAsia" w:ascii="仿宋_GB2312" w:hAnsi="仿宋_GB2312" w:eastAsia="仿宋_GB2312" w:cs="仿宋_GB2312"/>
          <w:color w:val="000000" w:themeColor="text1"/>
          <w:sz w:val="32"/>
          <w:szCs w:val="32"/>
          <w:lang w:eastAsia="zh-CN"/>
          <w14:textFill>
            <w14:solidFill>
              <w14:schemeClr w14:val="tx1"/>
            </w14:solidFill>
          </w14:textFill>
        </w:rPr>
        <w:t>加大质量监督抽检力度，确保不发生重大质量安全事故。</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加强事中事后监管。</w:t>
      </w:r>
      <w:r>
        <w:rPr>
          <w:rFonts w:hint="eastAsia" w:ascii="仿宋_GB2312" w:hAnsi="仿宋_GB2312" w:eastAsia="仿宋_GB2312" w:cs="仿宋_GB2312"/>
          <w:b/>
          <w:color w:val="000000" w:themeColor="text1"/>
          <w:sz w:val="32"/>
          <w:szCs w:val="32"/>
          <w14:textFill>
            <w14:solidFill>
              <w14:schemeClr w14:val="tx1"/>
            </w14:solidFill>
          </w14:textFill>
        </w:rPr>
        <w:t>一是推进“双随机、一公开”监管机制常态化。</w:t>
      </w:r>
      <w:r>
        <w:rPr>
          <w:rFonts w:hint="eastAsia" w:ascii="仿宋_GB2312" w:hAnsi="仿宋_GB2312" w:eastAsia="仿宋_GB2312" w:cs="仿宋_GB2312"/>
          <w:color w:val="000000" w:themeColor="text1"/>
          <w:sz w:val="32"/>
          <w:szCs w:val="32"/>
          <w14:textFill>
            <w14:solidFill>
              <w14:schemeClr w14:val="tx1"/>
            </w14:solidFill>
          </w14:textFill>
        </w:rPr>
        <w:t>要继续完善以“双随机、一公开”为基本手段，以重点领域全覆盖监管为补充、以信用监管为基础的相互结合、互为补充的新型监管机制，提升市场监管效能。</w:t>
      </w:r>
      <w:r>
        <w:rPr>
          <w:rFonts w:hint="eastAsia" w:ascii="仿宋_GB2312" w:hAnsi="仿宋_GB2312" w:eastAsia="仿宋_GB2312" w:cs="仿宋_GB2312"/>
          <w:color w:val="000000" w:themeColor="text1"/>
          <w:sz w:val="32"/>
          <w:szCs w:val="32"/>
          <w:lang w:eastAsia="zh-CN"/>
          <w14:textFill>
            <w14:solidFill>
              <w14:schemeClr w14:val="tx1"/>
            </w14:solidFill>
          </w14:textFill>
        </w:rPr>
        <w:t>定期完善</w:t>
      </w:r>
      <w:r>
        <w:rPr>
          <w:rFonts w:hint="eastAsia" w:ascii="仿宋_GB2312" w:hAnsi="仿宋_GB2312" w:eastAsia="仿宋_GB2312" w:cs="仿宋_GB2312"/>
          <w:color w:val="000000" w:themeColor="text1"/>
          <w:sz w:val="32"/>
          <w:szCs w:val="32"/>
          <w14:textFill>
            <w14:solidFill>
              <w14:schemeClr w14:val="tx1"/>
            </w14:solidFill>
          </w14:textFill>
        </w:rPr>
        <w:t>随机抽查事项清单和细则、随机抽查人员名录库，完成双随机抽查全流程整合，确保用好国家企业信用信息公示系统“全国一张网”这一涉企信息统一归集、依法公示、联合惩戒、社会监督的应用平台，完善经营异常名录、严重违法失信企业名单管理和信用修复制度，促进各项联合惩戒措施落地，充分发挥信用约束应有的威力和震慑作用。</w:t>
      </w:r>
      <w:r>
        <w:rPr>
          <w:rFonts w:hint="eastAsia" w:ascii="仿宋_GB2312" w:hAnsi="仿宋_GB2312" w:eastAsia="仿宋_GB2312" w:cs="仿宋_GB2312"/>
          <w:b/>
          <w:color w:val="000000" w:themeColor="text1"/>
          <w:sz w:val="32"/>
          <w:szCs w:val="32"/>
          <w14:textFill>
            <w14:solidFill>
              <w14:schemeClr w14:val="tx1"/>
            </w14:solidFill>
          </w14:textFill>
        </w:rPr>
        <w:t>二是健全监管体系信息化。</w:t>
      </w:r>
      <w:r>
        <w:rPr>
          <w:rFonts w:hint="eastAsia" w:ascii="仿宋_GB2312" w:hAnsi="仿宋_GB2312" w:eastAsia="仿宋_GB2312" w:cs="仿宋_GB2312"/>
          <w:color w:val="000000" w:themeColor="text1"/>
          <w:sz w:val="32"/>
          <w:szCs w:val="32"/>
          <w14:textFill>
            <w14:solidFill>
              <w14:schemeClr w14:val="tx1"/>
            </w14:solidFill>
          </w14:textFill>
        </w:rPr>
        <w:t>推进“互联网+市场监管”，依托市场监管大数据中心，构建统一的大数据支撑平台、应用体系和分析系统。加快智慧食药监大数据综合服务平台建设，建立涵盖食品、药品、化妆品、医疗器械等“三品一械”数据库，推行执法APP。推进政务办公、商事制度、审批改革、事中事后监管、知识产权公共信息服务、企业监管风险洞察等信息化建设，构建大系统融合、大协同监管、大平台支撑的新型市场监管信息化体系。</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加大综合监管执法力度。</w:t>
      </w:r>
      <w:r>
        <w:rPr>
          <w:rFonts w:hint="eastAsia" w:ascii="仿宋_GB2312" w:hAnsi="仿宋_GB2312" w:eastAsia="仿宋_GB2312" w:cs="仿宋_GB2312"/>
          <w:color w:val="000000" w:themeColor="text1"/>
          <w:sz w:val="32"/>
          <w:szCs w:val="32"/>
          <w:lang w:eastAsia="zh-CN"/>
          <w14:textFill>
            <w14:solidFill>
              <w14:schemeClr w14:val="tx1"/>
            </w14:solidFill>
          </w14:textFill>
        </w:rPr>
        <w:t>坚决贯彻落实“四个最严”要求，加大执法力度，坚持有诉必应、有案必查，迅速行动、主动出击，采取违法严惩、处罚到人等措施，从严从重从快处罚，对典型案件及时予以曝光，形成有力震慑和高压态势，达到“问责一个、教育一片、警示一方”的良好效果。</w:t>
      </w:r>
      <w:r>
        <w:rPr>
          <w:rFonts w:hint="eastAsia" w:ascii="仿宋_GB2312" w:hAnsi="仿宋_GB2312" w:eastAsia="仿宋_GB2312" w:cs="仿宋_GB2312"/>
          <w:color w:val="000000" w:themeColor="text1"/>
          <w:sz w:val="32"/>
          <w:szCs w:val="32"/>
          <w14:textFill>
            <w14:solidFill>
              <w14:schemeClr w14:val="tx1"/>
            </w14:solidFill>
          </w14:textFill>
        </w:rPr>
        <w:t>强化“诉转案”“抽检转案”工作，提升消费维权力度和监管执法精度，确保抽检不合格商品下架率、结案率“两个100%”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tabs>
          <w:tab w:val="left" w:pos="8306"/>
        </w:tabs>
        <w:kinsoku/>
        <w:wordWrap/>
        <w:overflowPunct/>
        <w:topLinePunct w:val="0"/>
        <w:autoSpaceDE/>
        <w:autoSpaceDN/>
        <w:bidi w:val="0"/>
        <w:adjustRightInd/>
        <w:spacing w:line="540" w:lineRule="exact"/>
        <w:ind w:right="0" w:rightChars="0"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提升监管执法能力。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落实行政执法公示、执法全过程记录、重大执法决定法制审核“三项制度”，确保执法信息公开透明、执法全过程留痕、执法决定合法有效。要不断健全执法制度，完善执法程序，加强执法规范化建设，全面梳理权力清单，组织开展好许可卷、处罚卷评查工作，确保执法规范。加大案件审核和文件合法性审查力度，着力规范行政执法监管行为。</w:t>
      </w:r>
    </w:p>
    <w:p>
      <w:pPr>
        <w:keepNext w:val="0"/>
        <w:keepLines w:val="0"/>
        <w:pageBreakBefore w:val="0"/>
        <w:tabs>
          <w:tab w:val="left" w:pos="8306"/>
        </w:tabs>
        <w:kinsoku/>
        <w:wordWrap/>
        <w:overflowPunct/>
        <w:topLinePunct w:val="0"/>
        <w:autoSpaceDE/>
        <w:autoSpaceDN/>
        <w:bidi w:val="0"/>
        <w:adjustRightInd/>
        <w:spacing w:line="540" w:lineRule="exact"/>
        <w:ind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（五）夯实基层保障能力。</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有序推进基层市场监管所规范化建设，厘清旗市场监管局和基层市场监管所的基本事权，规范市场监管所业务流程和工作要求，统一市场监管所执法装备、硬件保障和对外服务形象，构建职责明晰、分工合理、权责一致、保障到位、运转高效的基础监管体制机制。</w:t>
      </w:r>
    </w:p>
    <w:p>
      <w:pPr>
        <w:keepNext w:val="0"/>
        <w:keepLines w:val="0"/>
        <w:pageBreakBefore w:val="0"/>
        <w:kinsoku/>
        <w:wordWrap/>
        <w:overflowPunct/>
        <w:topLinePunct w:val="0"/>
        <w:autoSpaceDE/>
        <w:autoSpaceDN/>
        <w:bidi w:val="0"/>
        <w:spacing w:line="540" w:lineRule="exact"/>
        <w:ind w:right="0" w:rightChars="0" w:firstLine="640" w:firstLineChars="200"/>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sz w:val="32"/>
          <w:szCs w:val="32"/>
          <w:lang w:eastAsia="zh-CN"/>
        </w:rPr>
        <w:t>四、</w:t>
      </w:r>
      <w:r>
        <w:rPr>
          <w:rFonts w:hint="eastAsia" w:ascii="黑体" w:hAnsi="黑体" w:eastAsia="黑体" w:cs="黑体"/>
          <w:b w:val="0"/>
          <w:bCs w:val="0"/>
          <w:color w:val="000000" w:themeColor="text1"/>
          <w:sz w:val="32"/>
          <w:szCs w:val="32"/>
          <w:lang w:eastAsia="zh-CN"/>
          <w14:textFill>
            <w14:solidFill>
              <w14:schemeClr w14:val="tx1"/>
            </w14:solidFill>
          </w14:textFill>
        </w:rPr>
        <w:t>推进疫情防控，着力筑牢常态化监管防线</w:t>
      </w:r>
    </w:p>
    <w:p>
      <w:pPr>
        <w:keepNext w:val="0"/>
        <w:keepLines w:val="0"/>
        <w:pageBreakBefore w:val="0"/>
        <w:widowControl w:val="0"/>
        <w:numPr>
          <w:ilvl w:val="0"/>
          <w:numId w:val="0"/>
        </w:numPr>
        <w:kinsoku/>
        <w:wordWrap/>
        <w:overflowPunct/>
        <w:topLinePunct w:val="0"/>
        <w:autoSpaceDE/>
        <w:autoSpaceDN/>
        <w:bidi w:val="0"/>
        <w:spacing w:line="540" w:lineRule="exact"/>
        <w:ind w:right="0" w:rightChars="0"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坚持常态化防控和应急处置相结合，做到领导不变，组织不变，人员不变，确保一旦发生疫情能够迅速启动，高效处置。</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进一步强化责任担当，扎实做好常态化疫情防控工作，强化对进口冷链食品的监管排查和应急处置，</w:t>
      </w:r>
      <w:r>
        <w:rPr>
          <w:rFonts w:hint="eastAsia" w:ascii="仿宋_GB2312" w:hAnsi="仿宋_GB2312" w:eastAsia="仿宋_GB2312" w:cs="仿宋_GB2312"/>
          <w:color w:val="000000" w:themeColor="text1"/>
          <w:sz w:val="32"/>
          <w:szCs w:val="32"/>
          <w14:textFill>
            <w14:solidFill>
              <w14:schemeClr w14:val="tx1"/>
            </w14:solidFill>
          </w14:textFill>
        </w:rPr>
        <w:t>严格执行报备和入仓预约程序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如实将进口冷链食品信息录入“蒙冷链”追溯系统，落实“三专”的要求，提供“六证一码”合格证明文件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有效贯彻落实“四早”防控策略，健全多渠道监测预警机制，制定每周多点触发监测排班表。</w:t>
      </w:r>
      <w:r>
        <w:rPr>
          <w:rFonts w:hint="eastAsia" w:ascii="仿宋_GB2312" w:hAnsi="仿宋_GB2312" w:eastAsia="仿宋_GB2312" w:cs="仿宋_GB2312"/>
          <w:color w:val="000000" w:themeColor="text1"/>
          <w:sz w:val="32"/>
          <w:szCs w:val="32"/>
          <w:lang w:eastAsia="zh-CN"/>
          <w14:textFill>
            <w14:solidFill>
              <w14:schemeClr w14:val="tx1"/>
            </w14:solidFill>
          </w14:textFill>
        </w:rPr>
        <w:t>加大零售药店检查力度，加强疫情防控医疗器械生产企业检查。督促市场主体落实主体责任，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切实加强防疫物品安全和价格监管检查，严肃查处囤积居奇</w:t>
      </w:r>
      <w:r>
        <w:rPr>
          <w:rFonts w:hint="eastAsia" w:ascii="仿宋_GB2312" w:hAnsi="仿宋_GB2312" w:eastAsia="仿宋_GB2312" w:cs="仿宋_GB2312"/>
          <w:color w:val="000000" w:themeColor="text1"/>
          <w:sz w:val="32"/>
          <w:szCs w:val="32"/>
          <w14:textFill>
            <w14:solidFill>
              <w14:schemeClr w14:val="tx1"/>
            </w14:solidFill>
          </w14:textFill>
        </w:rPr>
        <w:t>、哄抬物价，散布</w:t>
      </w:r>
      <w:r>
        <w:rPr>
          <w:rFonts w:hint="eastAsia" w:ascii="仿宋_GB2312" w:hAnsi="仿宋_GB2312" w:eastAsia="仿宋_GB2312" w:cs="仿宋_GB2312"/>
          <w:color w:val="000000" w:themeColor="text1"/>
          <w:sz w:val="32"/>
          <w:szCs w:val="32"/>
          <w:lang w:eastAsia="zh-CN"/>
          <w14:textFill>
            <w14:solidFill>
              <w14:schemeClr w14:val="tx1"/>
            </w14:solidFill>
          </w14:textFill>
        </w:rPr>
        <w:t>虚</w:t>
      </w:r>
      <w:r>
        <w:rPr>
          <w:rFonts w:hint="eastAsia" w:ascii="仿宋_GB2312" w:hAnsi="仿宋_GB2312" w:eastAsia="仿宋_GB2312" w:cs="仿宋_GB2312"/>
          <w:color w:val="000000" w:themeColor="text1"/>
          <w:sz w:val="32"/>
          <w:szCs w:val="32"/>
          <w14:textFill>
            <w14:solidFill>
              <w14:schemeClr w14:val="tx1"/>
            </w14:solidFill>
          </w14:textFill>
        </w:rPr>
        <w:t>假消息欺诈消费等行为</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w:t>
      </w:r>
      <w:r>
        <w:rPr>
          <w:rFonts w:hint="eastAsia" w:ascii="仿宋_GB2312" w:hAnsi="仿宋_GB2312" w:eastAsia="仿宋_GB2312" w:cs="仿宋_GB2312"/>
          <w:color w:val="000000" w:themeColor="text1"/>
          <w:sz w:val="32"/>
          <w:szCs w:val="32"/>
          <w14:textFill>
            <w14:solidFill>
              <w14:schemeClr w14:val="tx1"/>
            </w14:solidFill>
          </w14:textFill>
        </w:rPr>
        <w:t>全</w:t>
      </w:r>
      <w:r>
        <w:rPr>
          <w:rFonts w:hint="eastAsia" w:ascii="仿宋_GB2312" w:hAnsi="仿宋_GB2312" w:eastAsia="仿宋_GB2312" w:cs="仿宋_GB2312"/>
          <w:color w:val="000000" w:themeColor="text1"/>
          <w:sz w:val="32"/>
          <w:szCs w:val="32"/>
          <w:lang w:eastAsia="zh-CN"/>
          <w14:textFill>
            <w14:solidFill>
              <w14:schemeClr w14:val="tx1"/>
            </w14:solidFill>
          </w14:textFill>
        </w:rPr>
        <w:t>旗</w:t>
      </w:r>
      <w:r>
        <w:rPr>
          <w:rFonts w:hint="eastAsia" w:ascii="仿宋_GB2312" w:hAnsi="仿宋_GB2312" w:eastAsia="仿宋_GB2312" w:cs="仿宋_GB2312"/>
          <w:color w:val="000000" w:themeColor="text1"/>
          <w:sz w:val="32"/>
          <w:szCs w:val="32"/>
          <w14:textFill>
            <w14:solidFill>
              <w14:schemeClr w14:val="tx1"/>
            </w14:solidFill>
          </w14:textFill>
        </w:rPr>
        <w:t>日常消费品供应平稳有序，货源充足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价格稳定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540" w:lineRule="exact"/>
        <w:ind w:right="0" w:rightChars="0"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、加强党的全面领导，为市场监管事业提供有力保障</w:t>
      </w:r>
    </w:p>
    <w:p>
      <w:pPr>
        <w:keepNext w:val="0"/>
        <w:keepLines w:val="0"/>
        <w:pageBreakBefore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40" w:lineRule="exact"/>
        <w:ind w:right="0" w:righ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14:textFill>
            <w14:solidFill>
              <w14:schemeClr w14:val="tx1"/>
            </w14:solidFill>
          </w14:textFill>
        </w:rPr>
        <w:t>突出抓好政治建设。</w:t>
      </w:r>
      <w:r>
        <w:rPr>
          <w:rFonts w:hint="eastAsia" w:ascii="仿宋_GB2312" w:hAnsi="仿宋_GB2312" w:eastAsia="仿宋_GB2312" w:cs="仿宋_GB2312"/>
          <w:color w:val="000000" w:themeColor="text1"/>
          <w:sz w:val="32"/>
          <w:szCs w:val="32"/>
          <w14:textFill>
            <w14:solidFill>
              <w14:schemeClr w14:val="tx1"/>
            </w14:solidFill>
          </w14:textFill>
        </w:rPr>
        <w:t>把政治建设摆在首位，继续深入学习贯彻党的十九大精神和习近平新时代中国特色社会主义思想，提高政治站位，增强“四个意识”，坚定“四个自信”，做到“两个维护”，始终与党中央保持高度一致。</w:t>
      </w:r>
    </w:p>
    <w:p>
      <w:pPr>
        <w:keepNext w:val="0"/>
        <w:keepLines w:val="0"/>
        <w:pageBreakBefore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40" w:lineRule="exact"/>
        <w:ind w:right="0" w:righ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color w:val="000000" w:themeColor="text1"/>
          <w:sz w:val="32"/>
          <w:szCs w:val="32"/>
          <w14:textFill>
            <w14:solidFill>
              <w14:schemeClr w14:val="tx1"/>
            </w14:solidFill>
          </w14:textFill>
        </w:rPr>
        <w:t>大力抓好思想建设。</w:t>
      </w:r>
      <w:r>
        <w:rPr>
          <w:rFonts w:hint="eastAsia" w:ascii="仿宋_GB2312" w:hAnsi="仿宋_GB2312" w:eastAsia="仿宋_GB2312" w:cs="仿宋_GB2312"/>
          <w:color w:val="000000" w:themeColor="text1"/>
          <w:sz w:val="32"/>
          <w:szCs w:val="32"/>
          <w14:textFill>
            <w14:solidFill>
              <w14:schemeClr w14:val="tx1"/>
            </w14:solidFill>
          </w14:textFill>
        </w:rPr>
        <w:t>强化理论武装，常态化扎实开展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“不忘初心、牢记使命”主题教育、党史学习教育，</w:t>
      </w:r>
      <w:r>
        <w:rPr>
          <w:rFonts w:hint="eastAsia" w:ascii="仿宋_GB2312" w:hAnsi="仿宋_GB2312" w:eastAsia="仿宋_GB2312" w:cs="仿宋_GB2312"/>
          <w:color w:val="000000" w:themeColor="text1"/>
          <w:sz w:val="32"/>
          <w:szCs w:val="32"/>
          <w14:textFill>
            <w14:solidFill>
              <w14:schemeClr w14:val="tx1"/>
            </w14:solidFill>
          </w14:textFill>
        </w:rPr>
        <w:t>用习近平新时代中国特色社会主义思想武装头脑，指导实践。认真落实意识形态工作责任制，定期分析研判意识形态工作形势，始终保持清醒的政治头脑和政治定力。持续推进党员“学习强国”</w:t>
      </w:r>
      <w:r>
        <w:rPr>
          <w:rFonts w:hint="eastAsia" w:ascii="仿宋_GB2312" w:hAnsi="仿宋_GB2312" w:eastAsia="仿宋_GB2312" w:cs="仿宋_GB2312"/>
          <w:color w:val="000000" w:themeColor="text1"/>
          <w:sz w:val="32"/>
          <w:szCs w:val="32"/>
          <w:lang w:eastAsia="zh-CN"/>
          <w14:textFill>
            <w14:solidFill>
              <w14:schemeClr w14:val="tx1"/>
            </w14:solidFill>
          </w14:textFill>
        </w:rPr>
        <w:t>平台</w:t>
      </w:r>
      <w:r>
        <w:rPr>
          <w:rFonts w:hint="eastAsia" w:ascii="仿宋_GB2312" w:hAnsi="仿宋_GB2312" w:eastAsia="仿宋_GB2312" w:cs="仿宋_GB2312"/>
          <w:color w:val="000000" w:themeColor="text1"/>
          <w:sz w:val="32"/>
          <w:szCs w:val="32"/>
          <w14:textFill>
            <w14:solidFill>
              <w14:schemeClr w14:val="tx1"/>
            </w14:solidFill>
          </w14:textFill>
        </w:rPr>
        <w:t>学习</w:t>
      </w:r>
      <w:r>
        <w:rPr>
          <w:rFonts w:hint="eastAsia" w:ascii="仿宋_GB2312" w:hAnsi="仿宋_GB2312" w:eastAsia="仿宋_GB2312" w:cs="仿宋_GB2312"/>
          <w:color w:val="000000" w:themeColor="text1"/>
          <w:sz w:val="32"/>
          <w:szCs w:val="32"/>
          <w:lang w:eastAsia="zh-CN"/>
          <w14:textFill>
            <w14:solidFill>
              <w14:schemeClr w14:val="tx1"/>
            </w14:solidFill>
          </w14:textFill>
        </w:rPr>
        <w:t>日常化</w:t>
      </w:r>
      <w:r>
        <w:rPr>
          <w:rFonts w:hint="eastAsia" w:ascii="仿宋_GB2312" w:hAnsi="仿宋_GB2312" w:eastAsia="仿宋_GB2312" w:cs="仿宋_GB2312"/>
          <w:color w:val="000000" w:themeColor="text1"/>
          <w:sz w:val="32"/>
          <w:szCs w:val="32"/>
          <w14:textFill>
            <w14:solidFill>
              <w14:schemeClr w14:val="tx1"/>
            </w14:solidFill>
          </w14:textFill>
        </w:rPr>
        <w:t>，对各</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w:t>
      </w:r>
      <w:r>
        <w:rPr>
          <w:rFonts w:hint="eastAsia" w:ascii="仿宋_GB2312" w:hAnsi="仿宋_GB2312" w:eastAsia="仿宋_GB2312" w:cs="仿宋_GB2312"/>
          <w:color w:val="000000" w:themeColor="text1"/>
          <w:sz w:val="32"/>
          <w:szCs w:val="32"/>
          <w14:textFill>
            <w14:solidFill>
              <w14:schemeClr w14:val="tx1"/>
            </w14:solidFill>
          </w14:textFill>
        </w:rPr>
        <w:t>党组织学习情况进行周通报、月统计、季总结</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，充分利用“学习强国”平台开展理论学习，切实发挥好平台的实效性。</w:t>
      </w:r>
    </w:p>
    <w:p>
      <w:pPr>
        <w:keepNext w:val="0"/>
        <w:keepLines w:val="0"/>
        <w:pageBreakBefore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40" w:lineRule="exact"/>
        <w:ind w:right="0" w:rightChars="0" w:firstLine="643"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全面抓好组织建设。</w:t>
      </w:r>
      <w:r>
        <w:rPr>
          <w:rFonts w:hint="eastAsia" w:ascii="仿宋_GB2312" w:hAnsi="仿宋_GB2312" w:eastAsia="仿宋_GB2312" w:cs="仿宋_GB2312"/>
          <w:color w:val="000000" w:themeColor="text1"/>
          <w:sz w:val="32"/>
          <w:szCs w:val="32"/>
          <w14:textFill>
            <w14:solidFill>
              <w14:schemeClr w14:val="tx1"/>
            </w14:solidFill>
          </w14:textFill>
        </w:rPr>
        <w:t>认真落实“三会一课”、主题党日、民主生活会、组织生活会、党员民主评议、谈心谈话等制度，把党内政治生活作为党性锻炼的主要平台，严格过好组织生活，确保党的组织生活制度化、常态化、规范化。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坚持以党建带团建、带妇建，把群团组织建设纳入基层党组织建设整体规划，认真落实 “工、青、妇”组织工作要求，积极发挥其桥梁纽带作用。</w:t>
      </w:r>
    </w:p>
    <w:p>
      <w:pPr>
        <w:keepNext w:val="0"/>
        <w:keepLines w:val="0"/>
        <w:pageBreakBefore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40" w:lineRule="exact"/>
        <w:ind w:right="0" w:righ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14:textFill>
            <w14:solidFill>
              <w14:schemeClr w14:val="tx1"/>
            </w14:solidFill>
          </w14:textFill>
        </w:rPr>
        <w:t>深入抓好纪律建设。</w:t>
      </w:r>
      <w:r>
        <w:rPr>
          <w:rFonts w:hint="eastAsia" w:ascii="仿宋_GB2312" w:hAnsi="仿宋_GB2312" w:eastAsia="仿宋_GB2312" w:cs="仿宋_GB2312"/>
          <w:color w:val="000000" w:themeColor="text1"/>
          <w:sz w:val="32"/>
          <w:szCs w:val="32"/>
          <w14:textFill>
            <w14:solidFill>
              <w14:schemeClr w14:val="tx1"/>
            </w14:solidFill>
          </w14:textFill>
        </w:rPr>
        <w:t>把政治纪律和政治规矩摆在首位，着力增强党员干部的纪律意识和规矩意识，严明政治纪律、组织纪律、廉洁纪律、群众纪律、工作纪律、生活纪律，使党员干部时刻绷紧纪律这根弦，自觉做到“四个服从”。</w:t>
      </w:r>
    </w:p>
    <w:p>
      <w:pPr>
        <w:keepNext w:val="0"/>
        <w:keepLines w:val="0"/>
        <w:pageBreakBefore w:val="0"/>
        <w:pBdr>
          <w:bottom w:val="single" w:color="FFFFFF" w:sz="4" w:space="31"/>
        </w:pBdr>
        <w:tabs>
          <w:tab w:val="left" w:pos="2700"/>
          <w:tab w:val="left" w:pos="2996"/>
          <w:tab w:val="left" w:pos="7710"/>
        </w:tabs>
        <w:kinsoku/>
        <w:wordWrap/>
        <w:overflowPunct/>
        <w:topLinePunct w:val="0"/>
        <w:autoSpaceDE/>
        <w:autoSpaceDN/>
        <w:bidi w:val="0"/>
        <w:adjustRightInd w:val="0"/>
        <w:snapToGrid w:val="0"/>
        <w:spacing w:line="540" w:lineRule="exact"/>
        <w:ind w:right="0" w:rightChars="0" w:firstLine="643"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14:textFill>
            <w14:solidFill>
              <w14:schemeClr w14:val="tx1"/>
            </w14:solidFill>
          </w14:textFill>
        </w:rPr>
        <w:t>持续抓好作风建设。</w:t>
      </w:r>
      <w:r>
        <w:rPr>
          <w:rFonts w:hint="eastAsia" w:ascii="仿宋_GB2312" w:hAnsi="仿宋_GB2312" w:eastAsia="仿宋_GB2312" w:cs="仿宋_GB2312"/>
          <w:color w:val="000000" w:themeColor="text1"/>
          <w:sz w:val="32"/>
          <w:szCs w:val="32"/>
          <w14:textFill>
            <w14:solidFill>
              <w14:schemeClr w14:val="tx1"/>
            </w14:solidFill>
          </w14:textFill>
        </w:rPr>
        <w:t>进一步严明工作纪律，改进工作作风，加强干部队伍建设，突出抓环节干部等关键少数，抓财务管理等风险部位，抓公车私用、办公用房超标、吃拿卡要、不作为、乱作为、慢作为等突出问题，坚持不懈执行“八项规定”，驰而不息纠正“四风”问题，以一流的形象创一流的</w:t>
      </w:r>
      <w:r>
        <w:rPr>
          <w:rFonts w:hint="eastAsia" w:ascii="仿宋_GB2312" w:hAnsi="仿宋_GB2312" w:eastAsia="仿宋_GB2312" w:cs="仿宋_GB2312"/>
          <w:color w:val="000000" w:themeColor="text1"/>
          <w:sz w:val="32"/>
          <w:szCs w:val="32"/>
          <w:lang w:eastAsia="zh-CN"/>
          <w14:textFill>
            <w14:solidFill>
              <w14:schemeClr w14:val="tx1"/>
            </w14:solidFill>
          </w14:textFill>
        </w:rPr>
        <w:t>成绩</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spacing w:line="540" w:lineRule="exact"/>
        <w:ind w:right="0" w:rightChars="0"/>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F6E87"/>
    <w:rsid w:val="23BF20FE"/>
    <w:rsid w:val="57DB42D9"/>
    <w:rsid w:val="D3BAA79B"/>
    <w:rsid w:val="E6FEC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Heading1"/>
    <w:basedOn w:val="1"/>
    <w:next w:val="1"/>
    <w:qFormat/>
    <w:uiPriority w:val="0"/>
    <w:pPr>
      <w:spacing w:beforeAutospacing="1" w:afterAutospacing="1"/>
      <w:jc w:val="left"/>
    </w:pPr>
    <w:rPr>
      <w:rFonts w:ascii="宋体" w:hAnsi="宋体"/>
      <w:b/>
      <w:kern w:val="4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4569</Words>
  <Characters>4596</Characters>
  <Lines>0</Lines>
  <Paragraphs>0</Paragraphs>
  <TotalTime>10</TotalTime>
  <ScaleCrop>false</ScaleCrop>
  <LinksUpToDate>false</LinksUpToDate>
  <CharactersWithSpaces>4598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2022-02-11T08:55:00Z</dcterms:created>
  <dc:creator>admin123</dc:creator>
  <cp:lastModifiedBy>admin1</cp:lastModifiedBy>
  <dcterms:modified xsi:type="dcterms:W3CDTF">2022-04-22T01:47:35Z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BF6C89689F574A45985B13C7A505B00B</vt:lpwstr>
  </property>
</Properties>
</file>