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spacing w:beforeLines="0" w:afterLines="0" w:line="580" w:lineRule="exact"/>
        <w:ind w:firstLine="600"/>
        <w:jc w:val="center"/>
        <w:rPr>
          <w:rFonts w:hint="default" w:eastAsia="Times New Roman"/>
          <w:b/>
          <w:sz w:val="36"/>
          <w:szCs w:val="24"/>
        </w:rPr>
      </w:pPr>
    </w:p>
    <w:p>
      <w:pPr>
        <w:widowControl w:val="0"/>
        <w:autoSpaceDE w:val="0"/>
        <w:autoSpaceDN w:val="0"/>
        <w:spacing w:beforeLines="0" w:afterLines="0" w:line="580" w:lineRule="exact"/>
        <w:ind w:firstLine="600"/>
        <w:jc w:val="center"/>
        <w:rPr>
          <w:rFonts w:hint="default" w:eastAsia="Times New Roman"/>
          <w:b/>
          <w:sz w:val="36"/>
          <w:szCs w:val="24"/>
        </w:rPr>
      </w:pPr>
    </w:p>
    <w:p>
      <w:pPr>
        <w:widowControl w:val="0"/>
        <w:autoSpaceDE w:val="0"/>
        <w:autoSpaceDN w:val="0"/>
        <w:spacing w:beforeLines="0" w:afterLines="0" w:line="580" w:lineRule="exact"/>
        <w:ind w:firstLine="600"/>
        <w:jc w:val="center"/>
        <w:rPr>
          <w:rFonts w:hint="default" w:eastAsia="Times New Roman"/>
          <w:b/>
          <w:sz w:val="36"/>
          <w:szCs w:val="24"/>
        </w:rPr>
      </w:pPr>
    </w:p>
    <w:p>
      <w:pPr>
        <w:widowControl w:val="0"/>
        <w:autoSpaceDE w:val="0"/>
        <w:autoSpaceDN w:val="0"/>
        <w:spacing w:beforeLines="0" w:afterLines="0" w:line="580" w:lineRule="exact"/>
        <w:ind w:firstLine="600"/>
        <w:jc w:val="center"/>
        <w:rPr>
          <w:rFonts w:hint="default" w:eastAsia="Times New Roman"/>
          <w:b/>
          <w:sz w:val="36"/>
          <w:szCs w:val="24"/>
        </w:rPr>
      </w:pPr>
    </w:p>
    <w:p>
      <w:pPr>
        <w:widowControl w:val="0"/>
        <w:autoSpaceDE w:val="0"/>
        <w:autoSpaceDN w:val="0"/>
        <w:spacing w:beforeLines="0" w:afterLines="0" w:line="580" w:lineRule="exact"/>
        <w:ind w:firstLine="600"/>
        <w:jc w:val="center"/>
        <w:rPr>
          <w:rFonts w:hint="default" w:eastAsia="Times New Roman"/>
          <w:b/>
          <w:sz w:val="36"/>
          <w:szCs w:val="24"/>
        </w:rPr>
      </w:pPr>
    </w:p>
    <w:p>
      <w:pPr>
        <w:widowControl w:val="0"/>
        <w:autoSpaceDE w:val="0"/>
        <w:autoSpaceDN w:val="0"/>
        <w:spacing w:beforeLines="0" w:afterLines="0" w:line="580" w:lineRule="exact"/>
        <w:ind w:firstLine="600"/>
        <w:jc w:val="center"/>
        <w:rPr>
          <w:rFonts w:hint="default" w:eastAsia="Times New Roman"/>
          <w:b/>
          <w:sz w:val="36"/>
          <w:szCs w:val="24"/>
        </w:rPr>
      </w:pPr>
    </w:p>
    <w:p>
      <w:pPr>
        <w:widowControl w:val="0"/>
        <w:autoSpaceDE w:val="0"/>
        <w:autoSpaceDN w:val="0"/>
        <w:spacing w:beforeLines="0" w:afterLines="0" w:line="580" w:lineRule="exact"/>
        <w:ind w:firstLine="600"/>
        <w:jc w:val="center"/>
        <w:rPr>
          <w:rFonts w:hint="default" w:eastAsia="Times New Roman"/>
          <w:b/>
          <w:sz w:val="36"/>
          <w:szCs w:val="24"/>
        </w:rPr>
      </w:pPr>
    </w:p>
    <w:p>
      <w:pPr>
        <w:widowControl w:val="0"/>
        <w:autoSpaceDE w:val="0"/>
        <w:autoSpaceDN w:val="0"/>
        <w:spacing w:beforeLines="0" w:afterLines="0" w:line="580" w:lineRule="exact"/>
        <w:ind w:firstLine="600"/>
        <w:jc w:val="center"/>
        <w:rPr>
          <w:rFonts w:hint="default" w:eastAsia="Times New Roman"/>
          <w:b/>
          <w:sz w:val="36"/>
          <w:szCs w:val="24"/>
        </w:rPr>
      </w:pPr>
    </w:p>
    <w:p>
      <w:pPr>
        <w:widowControl w:val="0"/>
        <w:autoSpaceDE w:val="0"/>
        <w:autoSpaceDN w:val="0"/>
        <w:spacing w:beforeLines="0" w:afterLines="0" w:line="580" w:lineRule="exact"/>
        <w:ind w:firstLine="600"/>
        <w:jc w:val="center"/>
        <w:rPr>
          <w:rFonts w:hint="default" w:eastAsia="Times New Roman"/>
          <w:b/>
          <w:sz w:val="36"/>
          <w:szCs w:val="24"/>
        </w:rPr>
      </w:pPr>
    </w:p>
    <w:p>
      <w:pPr>
        <w:widowControl w:val="0"/>
        <w:autoSpaceDE w:val="0"/>
        <w:autoSpaceDN w:val="0"/>
        <w:spacing w:beforeLines="0" w:afterLines="0"/>
        <w:ind w:firstLine="601"/>
        <w:jc w:val="center"/>
        <w:rPr>
          <w:rFonts w:hint="default" w:eastAsia="Times New Roman"/>
          <w:b/>
          <w:sz w:val="44"/>
          <w:szCs w:val="24"/>
        </w:rPr>
      </w:pPr>
      <w:r>
        <w:rPr>
          <w:rFonts w:hint="eastAsia" w:ascii="仿宋_GB2312" w:hAnsi="仿宋_GB2312" w:eastAsia="仿宋_GB2312"/>
          <w:b/>
          <w:sz w:val="44"/>
          <w:szCs w:val="24"/>
        </w:rPr>
        <w:t>内蒙古自治区通辽市奈曼旗政务服务局</w:t>
      </w:r>
    </w:p>
    <w:p>
      <w:pPr>
        <w:widowControl w:val="0"/>
        <w:autoSpaceDE w:val="0"/>
        <w:autoSpaceDN w:val="0"/>
        <w:spacing w:beforeLines="0" w:afterLines="0"/>
        <w:ind w:firstLine="601"/>
        <w:jc w:val="center"/>
        <w:rPr>
          <w:rFonts w:hint="default" w:eastAsia="Times New Roman"/>
          <w:b/>
          <w:sz w:val="44"/>
          <w:szCs w:val="24"/>
        </w:rPr>
      </w:pPr>
      <w:r>
        <w:rPr>
          <w:rFonts w:hint="eastAsia" w:ascii="仿宋_GB2312" w:hAnsi="仿宋_GB2312" w:eastAsia="仿宋_GB2312"/>
          <w:b/>
          <w:sz w:val="44"/>
          <w:szCs w:val="24"/>
        </w:rPr>
        <w:t>2020年度决算公开报告</w:t>
      </w:r>
    </w:p>
    <w:p>
      <w:pPr>
        <w:widowControl w:val="0"/>
        <w:autoSpaceDE w:val="0"/>
        <w:autoSpaceDN w:val="0"/>
        <w:spacing w:beforeLines="0" w:afterLines="0" w:line="580" w:lineRule="exact"/>
        <w:ind w:firstLine="600"/>
        <w:jc w:val="center"/>
        <w:rPr>
          <w:rFonts w:hint="default" w:eastAsia="Times New Roman"/>
          <w:b/>
          <w:sz w:val="36"/>
          <w:szCs w:val="24"/>
        </w:rPr>
      </w:pPr>
    </w:p>
    <w:p>
      <w:pPr>
        <w:widowControl w:val="0"/>
        <w:autoSpaceDE w:val="0"/>
        <w:autoSpaceDN w:val="0"/>
        <w:spacing w:beforeLines="0" w:afterLines="0" w:line="580" w:lineRule="exact"/>
        <w:ind w:firstLine="600"/>
        <w:jc w:val="center"/>
        <w:rPr>
          <w:rFonts w:hint="default" w:eastAsia="Times New Roman"/>
          <w:b/>
          <w:sz w:val="36"/>
          <w:szCs w:val="24"/>
        </w:rPr>
      </w:pPr>
    </w:p>
    <w:p>
      <w:pPr>
        <w:widowControl w:val="0"/>
        <w:autoSpaceDE w:val="0"/>
        <w:autoSpaceDN w:val="0"/>
        <w:spacing w:beforeLines="0" w:afterLines="0" w:line="580" w:lineRule="exact"/>
        <w:ind w:firstLine="600"/>
        <w:jc w:val="center"/>
        <w:rPr>
          <w:rFonts w:hint="default" w:eastAsia="Times New Roman"/>
          <w:b/>
          <w:sz w:val="36"/>
          <w:szCs w:val="24"/>
        </w:rPr>
      </w:pPr>
    </w:p>
    <w:p>
      <w:pPr>
        <w:widowControl w:val="0"/>
        <w:autoSpaceDE w:val="0"/>
        <w:autoSpaceDN w:val="0"/>
        <w:spacing w:beforeLines="0" w:afterLines="0" w:line="580" w:lineRule="exact"/>
        <w:ind w:firstLine="600"/>
        <w:jc w:val="center"/>
        <w:rPr>
          <w:rFonts w:hint="default" w:eastAsia="Times New Roman"/>
          <w:b/>
          <w:sz w:val="36"/>
          <w:szCs w:val="24"/>
        </w:rPr>
      </w:pPr>
    </w:p>
    <w:p>
      <w:pPr>
        <w:widowControl w:val="0"/>
        <w:autoSpaceDE w:val="0"/>
        <w:autoSpaceDN w:val="0"/>
        <w:spacing w:beforeLines="0" w:afterLines="0" w:line="580" w:lineRule="exact"/>
        <w:ind w:firstLine="600"/>
        <w:jc w:val="center"/>
        <w:rPr>
          <w:rFonts w:hint="default" w:eastAsia="Times New Roman"/>
          <w:b/>
          <w:sz w:val="36"/>
          <w:szCs w:val="24"/>
        </w:rPr>
      </w:pPr>
    </w:p>
    <w:p>
      <w:pPr>
        <w:widowControl w:val="0"/>
        <w:autoSpaceDE w:val="0"/>
        <w:autoSpaceDN w:val="0"/>
        <w:spacing w:beforeLines="0" w:afterLines="0" w:line="580" w:lineRule="exact"/>
        <w:ind w:firstLine="600"/>
        <w:jc w:val="center"/>
        <w:rPr>
          <w:rFonts w:hint="default" w:eastAsia="Times New Roman"/>
          <w:b/>
          <w:sz w:val="36"/>
          <w:szCs w:val="24"/>
        </w:rPr>
      </w:pPr>
    </w:p>
    <w:p>
      <w:pPr>
        <w:widowControl w:val="0"/>
        <w:autoSpaceDE w:val="0"/>
        <w:autoSpaceDN w:val="0"/>
        <w:spacing w:beforeLines="0" w:afterLines="0" w:line="580" w:lineRule="exact"/>
        <w:ind w:firstLine="600"/>
        <w:jc w:val="center"/>
        <w:rPr>
          <w:rFonts w:hint="default" w:eastAsia="Times New Roman"/>
          <w:b/>
          <w:sz w:val="36"/>
          <w:szCs w:val="24"/>
        </w:rPr>
      </w:pPr>
    </w:p>
    <w:p>
      <w:pPr>
        <w:widowControl w:val="0"/>
        <w:autoSpaceDE w:val="0"/>
        <w:autoSpaceDN w:val="0"/>
        <w:spacing w:beforeLines="0" w:afterLines="0" w:line="580" w:lineRule="exact"/>
        <w:ind w:firstLine="600"/>
        <w:jc w:val="center"/>
        <w:rPr>
          <w:rFonts w:hint="default" w:eastAsia="Times New Roman"/>
          <w:b/>
          <w:sz w:val="36"/>
          <w:szCs w:val="24"/>
        </w:rPr>
      </w:pPr>
    </w:p>
    <w:p>
      <w:pPr>
        <w:widowControl w:val="0"/>
        <w:autoSpaceDE w:val="0"/>
        <w:autoSpaceDN w:val="0"/>
        <w:spacing w:beforeLines="0" w:afterLines="0" w:line="580" w:lineRule="exact"/>
        <w:ind w:firstLine="600"/>
        <w:jc w:val="center"/>
        <w:rPr>
          <w:rFonts w:hint="default" w:eastAsia="Times New Roman"/>
          <w:b/>
          <w:sz w:val="36"/>
          <w:szCs w:val="24"/>
        </w:rPr>
      </w:pPr>
    </w:p>
    <w:p>
      <w:pPr>
        <w:widowControl w:val="0"/>
        <w:autoSpaceDE w:val="0"/>
        <w:autoSpaceDN w:val="0"/>
        <w:spacing w:beforeLines="0" w:afterLines="0" w:line="580" w:lineRule="exact"/>
        <w:ind w:firstLine="600"/>
        <w:jc w:val="center"/>
        <w:rPr>
          <w:rFonts w:hint="default" w:eastAsia="Times New Roman"/>
          <w:b/>
          <w:sz w:val="36"/>
          <w:szCs w:val="24"/>
        </w:rPr>
      </w:pPr>
    </w:p>
    <w:p>
      <w:pPr>
        <w:widowControl w:val="0"/>
        <w:autoSpaceDE w:val="0"/>
        <w:autoSpaceDN w:val="0"/>
        <w:spacing w:beforeLines="0" w:afterLines="0" w:line="580" w:lineRule="exact"/>
        <w:ind w:firstLine="600"/>
        <w:jc w:val="center"/>
        <w:rPr>
          <w:rFonts w:hint="default" w:eastAsia="Times New Roman"/>
          <w:b/>
          <w:sz w:val="36"/>
          <w:szCs w:val="24"/>
        </w:rPr>
      </w:pPr>
    </w:p>
    <w:p>
      <w:pPr>
        <w:widowControl w:val="0"/>
        <w:autoSpaceDE w:val="0"/>
        <w:autoSpaceDN w:val="0"/>
        <w:spacing w:beforeLines="0" w:afterLines="0" w:line="580" w:lineRule="exact"/>
        <w:ind w:firstLine="600"/>
        <w:jc w:val="center"/>
        <w:rPr>
          <w:rFonts w:hint="default" w:eastAsia="Times New Roman"/>
          <w:b/>
          <w:sz w:val="36"/>
          <w:szCs w:val="24"/>
        </w:rPr>
      </w:pPr>
    </w:p>
    <w:p>
      <w:pPr>
        <w:widowControl w:val="0"/>
        <w:autoSpaceDE w:val="0"/>
        <w:autoSpaceDN w:val="0"/>
        <w:spacing w:beforeLines="0" w:afterLines="0"/>
        <w:ind w:firstLine="601"/>
        <w:rPr>
          <w:rFonts w:hint="default" w:eastAsia="Times New Roman"/>
          <w:b/>
          <w:sz w:val="44"/>
          <w:szCs w:val="24"/>
        </w:rPr>
      </w:pPr>
    </w:p>
    <w:p>
      <w:pPr>
        <w:widowControl w:val="0"/>
        <w:autoSpaceDE w:val="0"/>
        <w:autoSpaceDN w:val="0"/>
        <w:spacing w:beforeLines="0" w:afterLines="0"/>
        <w:ind w:firstLine="601"/>
        <w:jc w:val="center"/>
        <w:rPr>
          <w:rFonts w:hint="default" w:eastAsia="Times New Roman"/>
          <w:b/>
          <w:sz w:val="44"/>
          <w:szCs w:val="24"/>
        </w:rPr>
      </w:pPr>
      <w:r>
        <w:rPr>
          <w:rFonts w:hint="eastAsia" w:ascii="仿宋_GB2312" w:hAnsi="仿宋_GB2312" w:eastAsia="仿宋_GB2312"/>
          <w:b/>
          <w:sz w:val="44"/>
          <w:szCs w:val="24"/>
        </w:rPr>
        <w:t>目录</w:t>
      </w:r>
    </w:p>
    <w:p>
      <w:pPr>
        <w:widowControl w:val="0"/>
        <w:autoSpaceDE w:val="0"/>
        <w:autoSpaceDN w:val="0"/>
        <w:spacing w:beforeLines="0" w:afterLines="0"/>
        <w:ind w:firstLine="601"/>
        <w:rPr>
          <w:rFonts w:hint="default" w:eastAsia="Times New Roman"/>
          <w:b/>
          <w:sz w:val="44"/>
          <w:szCs w:val="24"/>
        </w:rPr>
      </w:pPr>
    </w:p>
    <w:p>
      <w:pPr>
        <w:widowControl w:val="0"/>
        <w:autoSpaceDE w:val="0"/>
        <w:autoSpaceDN w:val="0"/>
        <w:spacing w:beforeLines="0" w:afterLines="0" w:line="580" w:lineRule="exact"/>
        <w:ind w:firstLine="601"/>
        <w:rPr>
          <w:rFonts w:hint="default" w:eastAsia="Times New Roman"/>
          <w:b/>
          <w:sz w:val="32"/>
          <w:szCs w:val="24"/>
        </w:rPr>
      </w:pPr>
      <w:r>
        <w:rPr>
          <w:rFonts w:hint="eastAsia" w:ascii="黑体" w:hAnsi="黑体" w:eastAsia="黑体"/>
          <w:b/>
          <w:sz w:val="32"/>
          <w:szCs w:val="24"/>
        </w:rPr>
        <w:t>第一部分 部门基本情况</w:t>
      </w:r>
    </w:p>
    <w:p>
      <w:pPr>
        <w:widowControl w:val="0"/>
        <w:autoSpaceDE w:val="0"/>
        <w:autoSpaceDN w:val="0"/>
        <w:spacing w:beforeLines="0" w:afterLines="0" w:line="580" w:lineRule="exact"/>
        <w:ind w:firstLine="601"/>
        <w:rPr>
          <w:rFonts w:hint="default" w:eastAsia="Times New Roman"/>
          <w:sz w:val="32"/>
          <w:szCs w:val="24"/>
        </w:rPr>
      </w:pPr>
      <w:r>
        <w:rPr>
          <w:rFonts w:hint="eastAsia" w:ascii="仿宋_GB2312" w:hAnsi="仿宋_GB2312" w:eastAsia="仿宋_GB2312"/>
          <w:sz w:val="32"/>
          <w:szCs w:val="24"/>
        </w:rPr>
        <w:t>一、部门职责</w:t>
      </w:r>
    </w:p>
    <w:p>
      <w:pPr>
        <w:widowControl w:val="0"/>
        <w:autoSpaceDE w:val="0"/>
        <w:autoSpaceDN w:val="0"/>
        <w:spacing w:beforeLines="0" w:afterLines="0" w:line="580" w:lineRule="exact"/>
        <w:ind w:firstLine="601"/>
        <w:rPr>
          <w:rFonts w:hint="default" w:eastAsia="Times New Roman"/>
          <w:sz w:val="32"/>
          <w:szCs w:val="24"/>
        </w:rPr>
      </w:pPr>
      <w:r>
        <w:rPr>
          <w:rFonts w:hint="eastAsia" w:ascii="仿宋_GB2312" w:hAnsi="仿宋_GB2312" w:eastAsia="仿宋_GB2312"/>
          <w:sz w:val="32"/>
          <w:szCs w:val="24"/>
        </w:rPr>
        <w:t>二、机构设置</w:t>
      </w:r>
    </w:p>
    <w:p>
      <w:pPr>
        <w:widowControl w:val="0"/>
        <w:autoSpaceDE w:val="0"/>
        <w:autoSpaceDN w:val="0"/>
        <w:spacing w:beforeLines="0" w:afterLines="0" w:line="580" w:lineRule="exact"/>
        <w:ind w:firstLine="601"/>
        <w:rPr>
          <w:rFonts w:hint="default" w:eastAsia="Times New Roman"/>
          <w:b/>
          <w:sz w:val="32"/>
          <w:szCs w:val="24"/>
        </w:rPr>
      </w:pPr>
      <w:r>
        <w:rPr>
          <w:rFonts w:hint="eastAsia" w:ascii="黑体" w:hAnsi="黑体" w:eastAsia="黑体"/>
          <w:b/>
          <w:sz w:val="32"/>
          <w:szCs w:val="24"/>
        </w:rPr>
        <w:t>第二部分 2020年度部门决算情况说明</w:t>
      </w:r>
    </w:p>
    <w:p>
      <w:pPr>
        <w:widowControl w:val="0"/>
        <w:autoSpaceDE w:val="0"/>
        <w:autoSpaceDN w:val="0"/>
        <w:spacing w:beforeLines="0" w:afterLines="0" w:line="580" w:lineRule="exact"/>
        <w:ind w:firstLine="601"/>
        <w:rPr>
          <w:rFonts w:hint="default" w:eastAsia="Times New Roman"/>
          <w:sz w:val="32"/>
          <w:szCs w:val="24"/>
        </w:rPr>
      </w:pPr>
      <w:r>
        <w:rPr>
          <w:rFonts w:hint="eastAsia" w:ascii="仿宋_GB2312" w:hAnsi="仿宋_GB2312" w:eastAsia="仿宋_GB2312"/>
          <w:sz w:val="32"/>
          <w:szCs w:val="24"/>
        </w:rPr>
        <w:t>一、关于2020年度预算执行情况分析</w:t>
      </w:r>
    </w:p>
    <w:p>
      <w:pPr>
        <w:widowControl w:val="0"/>
        <w:autoSpaceDE w:val="0"/>
        <w:autoSpaceDN w:val="0"/>
        <w:spacing w:beforeLines="0" w:afterLines="0" w:line="580" w:lineRule="exact"/>
        <w:ind w:firstLine="601"/>
        <w:rPr>
          <w:rFonts w:hint="default" w:eastAsia="Times New Roman"/>
          <w:sz w:val="32"/>
          <w:szCs w:val="24"/>
        </w:rPr>
      </w:pPr>
      <w:r>
        <w:rPr>
          <w:rFonts w:hint="eastAsia" w:ascii="仿宋_GB2312" w:hAnsi="仿宋_GB2312" w:eastAsia="仿宋_GB2312"/>
          <w:sz w:val="32"/>
          <w:szCs w:val="24"/>
        </w:rPr>
        <w:t>二、关于2020年度决算情况说明</w:t>
      </w:r>
    </w:p>
    <w:p>
      <w:pPr>
        <w:widowControl w:val="0"/>
        <w:autoSpaceDE w:val="0"/>
        <w:autoSpaceDN w:val="0"/>
        <w:spacing w:beforeLines="0" w:afterLines="0" w:line="580" w:lineRule="exact"/>
        <w:ind w:firstLine="601"/>
        <w:rPr>
          <w:rFonts w:hint="default" w:eastAsia="Times New Roman"/>
          <w:sz w:val="32"/>
          <w:szCs w:val="24"/>
        </w:rPr>
      </w:pPr>
      <w:r>
        <w:rPr>
          <w:rFonts w:hint="eastAsia" w:ascii="仿宋_GB2312" w:hAnsi="仿宋_GB2312" w:eastAsia="仿宋_GB2312"/>
          <w:sz w:val="32"/>
          <w:szCs w:val="24"/>
        </w:rPr>
        <w:t>（一）关于收支情况总体说明</w:t>
      </w:r>
    </w:p>
    <w:p>
      <w:pPr>
        <w:widowControl w:val="0"/>
        <w:autoSpaceDE w:val="0"/>
        <w:autoSpaceDN w:val="0"/>
        <w:spacing w:beforeLines="0" w:afterLines="0" w:line="580" w:lineRule="exact"/>
        <w:ind w:firstLine="601"/>
        <w:rPr>
          <w:rFonts w:hint="default" w:eastAsia="Times New Roman"/>
          <w:sz w:val="32"/>
          <w:szCs w:val="24"/>
        </w:rPr>
      </w:pPr>
      <w:r>
        <w:rPr>
          <w:rFonts w:hint="eastAsia" w:ascii="仿宋_GB2312" w:hAnsi="仿宋_GB2312" w:eastAsia="仿宋_GB2312"/>
          <w:sz w:val="32"/>
          <w:szCs w:val="24"/>
        </w:rPr>
        <w:t>（二）关于2020年度收入决算情况说明</w:t>
      </w:r>
    </w:p>
    <w:p>
      <w:pPr>
        <w:widowControl w:val="0"/>
        <w:autoSpaceDE w:val="0"/>
        <w:autoSpaceDN w:val="0"/>
        <w:spacing w:beforeLines="0" w:afterLines="0" w:line="580" w:lineRule="exact"/>
        <w:ind w:firstLine="601"/>
        <w:rPr>
          <w:rFonts w:hint="default" w:eastAsia="Times New Roman"/>
          <w:sz w:val="32"/>
          <w:szCs w:val="24"/>
        </w:rPr>
      </w:pPr>
      <w:r>
        <w:rPr>
          <w:rFonts w:hint="eastAsia" w:ascii="仿宋_GB2312" w:hAnsi="仿宋_GB2312" w:eastAsia="仿宋_GB2312"/>
          <w:sz w:val="32"/>
          <w:szCs w:val="24"/>
        </w:rPr>
        <w:t>（三）关于2020年度支出决算情况说明</w:t>
      </w:r>
    </w:p>
    <w:p>
      <w:pPr>
        <w:widowControl w:val="0"/>
        <w:autoSpaceDE w:val="0"/>
        <w:autoSpaceDN w:val="0"/>
        <w:spacing w:beforeLines="0" w:afterLines="0" w:line="580" w:lineRule="exact"/>
        <w:ind w:firstLine="601"/>
        <w:rPr>
          <w:rFonts w:hint="default" w:eastAsia="Times New Roman"/>
          <w:sz w:val="32"/>
          <w:szCs w:val="24"/>
        </w:rPr>
      </w:pPr>
      <w:r>
        <w:rPr>
          <w:rFonts w:hint="eastAsia" w:ascii="仿宋_GB2312" w:hAnsi="仿宋_GB2312" w:eastAsia="仿宋_GB2312"/>
          <w:sz w:val="32"/>
          <w:szCs w:val="24"/>
        </w:rPr>
        <w:t>（四）关于2020年度财政拨款收入支出决算总体情况说明</w:t>
      </w:r>
    </w:p>
    <w:p>
      <w:pPr>
        <w:widowControl w:val="0"/>
        <w:autoSpaceDE w:val="0"/>
        <w:autoSpaceDN w:val="0"/>
        <w:spacing w:beforeLines="0" w:afterLines="0" w:line="580" w:lineRule="exact"/>
        <w:ind w:firstLine="601"/>
        <w:rPr>
          <w:rFonts w:hint="default" w:eastAsia="Times New Roman"/>
          <w:sz w:val="32"/>
          <w:szCs w:val="24"/>
        </w:rPr>
      </w:pPr>
      <w:r>
        <w:rPr>
          <w:rFonts w:hint="eastAsia" w:ascii="仿宋_GB2312" w:hAnsi="仿宋_GB2312" w:eastAsia="仿宋_GB2312"/>
          <w:sz w:val="32"/>
          <w:szCs w:val="24"/>
        </w:rPr>
        <w:t>（五）关于2020年度一般公共预算财政拨款支出决算情况说明</w:t>
      </w:r>
    </w:p>
    <w:p>
      <w:pPr>
        <w:widowControl w:val="0"/>
        <w:autoSpaceDE w:val="0"/>
        <w:autoSpaceDN w:val="0"/>
        <w:spacing w:beforeLines="0" w:afterLines="0" w:line="580" w:lineRule="exact"/>
        <w:ind w:firstLine="601"/>
        <w:rPr>
          <w:rFonts w:hint="default" w:eastAsia="Times New Roman"/>
          <w:sz w:val="32"/>
          <w:szCs w:val="24"/>
        </w:rPr>
      </w:pPr>
      <w:r>
        <w:rPr>
          <w:rFonts w:hint="eastAsia" w:ascii="仿宋_GB2312" w:hAnsi="仿宋_GB2312" w:eastAsia="仿宋_GB2312"/>
          <w:sz w:val="32"/>
          <w:szCs w:val="24"/>
        </w:rPr>
        <w:t>（六）关于2020年度一般公共预算财政拨款基本支出决算情况说明</w:t>
      </w:r>
    </w:p>
    <w:p>
      <w:pPr>
        <w:widowControl w:val="0"/>
        <w:autoSpaceDE w:val="0"/>
        <w:autoSpaceDN w:val="0"/>
        <w:spacing w:beforeLines="0" w:afterLines="0" w:line="580" w:lineRule="exact"/>
        <w:ind w:firstLine="601"/>
        <w:rPr>
          <w:rFonts w:hint="default" w:eastAsia="Times New Roman"/>
          <w:sz w:val="32"/>
          <w:szCs w:val="24"/>
        </w:rPr>
      </w:pPr>
      <w:r>
        <w:rPr>
          <w:rFonts w:hint="eastAsia" w:ascii="仿宋_GB2312" w:hAnsi="仿宋_GB2312" w:eastAsia="仿宋_GB2312"/>
          <w:sz w:val="32"/>
          <w:szCs w:val="24"/>
        </w:rPr>
        <w:t>（七）关于2020年度财政拨款</w:t>
      </w:r>
      <w:r>
        <w:rPr>
          <w:rFonts w:hint="default" w:eastAsia="Times New Roman"/>
          <w:sz w:val="32"/>
          <w:szCs w:val="24"/>
        </w:rPr>
        <w:t>“</w:t>
      </w:r>
      <w:r>
        <w:rPr>
          <w:rFonts w:hint="eastAsia" w:ascii="仿宋_GB2312" w:hAnsi="仿宋_GB2312" w:eastAsia="仿宋_GB2312"/>
          <w:sz w:val="32"/>
          <w:szCs w:val="24"/>
        </w:rPr>
        <w:t>三公</w:t>
      </w:r>
      <w:r>
        <w:rPr>
          <w:rFonts w:hint="default" w:eastAsia="Times New Roman"/>
          <w:sz w:val="32"/>
          <w:szCs w:val="24"/>
        </w:rPr>
        <w:t>”</w:t>
      </w:r>
      <w:r>
        <w:rPr>
          <w:rFonts w:hint="eastAsia" w:ascii="仿宋_GB2312" w:hAnsi="仿宋_GB2312" w:eastAsia="仿宋_GB2312"/>
          <w:sz w:val="32"/>
          <w:szCs w:val="24"/>
        </w:rPr>
        <w:t>经费支出决算情况说明</w:t>
      </w:r>
    </w:p>
    <w:p>
      <w:pPr>
        <w:widowControl w:val="0"/>
        <w:autoSpaceDE w:val="0"/>
        <w:autoSpaceDN w:val="0"/>
        <w:spacing w:beforeLines="0" w:afterLines="0" w:line="580" w:lineRule="exact"/>
        <w:ind w:firstLine="601"/>
        <w:rPr>
          <w:rFonts w:hint="default" w:eastAsia="Times New Roman"/>
          <w:sz w:val="32"/>
          <w:szCs w:val="24"/>
        </w:rPr>
      </w:pPr>
      <w:r>
        <w:rPr>
          <w:rFonts w:hint="default" w:eastAsia="Times New Roman"/>
          <w:sz w:val="32"/>
          <w:szCs w:val="24"/>
        </w:rPr>
        <w:tab/>
      </w:r>
      <w:r>
        <w:rPr>
          <w:rFonts w:hint="eastAsia" w:ascii="仿宋_GB2312" w:hAnsi="仿宋_GB2312" w:eastAsia="仿宋_GB2312"/>
          <w:sz w:val="32"/>
          <w:szCs w:val="24"/>
        </w:rPr>
        <w:t>1、财政拨款</w:t>
      </w:r>
      <w:r>
        <w:rPr>
          <w:rFonts w:hint="default" w:eastAsia="Times New Roman"/>
          <w:sz w:val="32"/>
          <w:szCs w:val="24"/>
        </w:rPr>
        <w:t>“</w:t>
      </w:r>
      <w:r>
        <w:rPr>
          <w:rFonts w:hint="eastAsia" w:ascii="仿宋_GB2312" w:hAnsi="仿宋_GB2312" w:eastAsia="仿宋_GB2312"/>
          <w:sz w:val="32"/>
          <w:szCs w:val="24"/>
        </w:rPr>
        <w:t>三公</w:t>
      </w:r>
      <w:r>
        <w:rPr>
          <w:rFonts w:hint="default" w:eastAsia="Times New Roman"/>
          <w:sz w:val="32"/>
          <w:szCs w:val="24"/>
        </w:rPr>
        <w:t>”</w:t>
      </w:r>
      <w:r>
        <w:rPr>
          <w:rFonts w:hint="eastAsia" w:ascii="仿宋_GB2312" w:hAnsi="仿宋_GB2312" w:eastAsia="仿宋_GB2312"/>
          <w:sz w:val="32"/>
          <w:szCs w:val="24"/>
        </w:rPr>
        <w:t>经费支出决算总体情况说明</w:t>
      </w:r>
    </w:p>
    <w:p>
      <w:pPr>
        <w:widowControl w:val="0"/>
        <w:autoSpaceDE w:val="0"/>
        <w:autoSpaceDN w:val="0"/>
        <w:spacing w:beforeLines="0" w:afterLines="0" w:line="580" w:lineRule="exact"/>
        <w:ind w:firstLine="601"/>
        <w:rPr>
          <w:rFonts w:hint="default" w:eastAsia="Times New Roman"/>
          <w:sz w:val="32"/>
          <w:szCs w:val="24"/>
        </w:rPr>
      </w:pPr>
      <w:r>
        <w:rPr>
          <w:rFonts w:hint="default" w:eastAsia="Times New Roman"/>
          <w:sz w:val="32"/>
          <w:szCs w:val="24"/>
        </w:rPr>
        <w:tab/>
      </w:r>
      <w:r>
        <w:rPr>
          <w:rFonts w:hint="eastAsia" w:ascii="仿宋_GB2312" w:hAnsi="仿宋_GB2312" w:eastAsia="仿宋_GB2312"/>
          <w:sz w:val="32"/>
          <w:szCs w:val="24"/>
        </w:rPr>
        <w:t>2、财政拨款</w:t>
      </w:r>
      <w:r>
        <w:rPr>
          <w:rFonts w:hint="default" w:eastAsia="Times New Roman"/>
          <w:sz w:val="32"/>
          <w:szCs w:val="24"/>
        </w:rPr>
        <w:t>“</w:t>
      </w:r>
      <w:r>
        <w:rPr>
          <w:rFonts w:hint="eastAsia" w:ascii="仿宋_GB2312" w:hAnsi="仿宋_GB2312" w:eastAsia="仿宋_GB2312"/>
          <w:sz w:val="32"/>
          <w:szCs w:val="24"/>
        </w:rPr>
        <w:t>三公</w:t>
      </w:r>
      <w:r>
        <w:rPr>
          <w:rFonts w:hint="default" w:eastAsia="Times New Roman"/>
          <w:sz w:val="32"/>
          <w:szCs w:val="24"/>
        </w:rPr>
        <w:t>”</w:t>
      </w:r>
      <w:r>
        <w:rPr>
          <w:rFonts w:hint="eastAsia" w:ascii="仿宋_GB2312" w:hAnsi="仿宋_GB2312" w:eastAsia="仿宋_GB2312"/>
          <w:sz w:val="32"/>
          <w:szCs w:val="24"/>
        </w:rPr>
        <w:t>经费支出决算具体情况说明</w:t>
      </w:r>
    </w:p>
    <w:p>
      <w:pPr>
        <w:widowControl w:val="0"/>
        <w:autoSpaceDE w:val="0"/>
        <w:autoSpaceDN w:val="0"/>
        <w:spacing w:beforeLines="0" w:afterLines="0" w:line="580" w:lineRule="exact"/>
        <w:ind w:firstLine="601"/>
        <w:rPr>
          <w:rFonts w:hint="default" w:eastAsia="Times New Roman"/>
          <w:sz w:val="32"/>
          <w:szCs w:val="24"/>
        </w:rPr>
      </w:pPr>
      <w:r>
        <w:rPr>
          <w:rFonts w:hint="eastAsia" w:ascii="仿宋_GB2312" w:hAnsi="仿宋_GB2312" w:eastAsia="仿宋_GB2312"/>
          <w:sz w:val="32"/>
          <w:szCs w:val="24"/>
        </w:rPr>
        <w:t>三、预算绩效情况说明</w:t>
      </w:r>
    </w:p>
    <w:p>
      <w:pPr>
        <w:widowControl w:val="0"/>
        <w:autoSpaceDE w:val="0"/>
        <w:autoSpaceDN w:val="0"/>
        <w:spacing w:beforeLines="0" w:afterLines="0" w:line="580" w:lineRule="exact"/>
        <w:ind w:firstLine="600"/>
        <w:rPr>
          <w:rFonts w:hint="default" w:eastAsia="Times New Roman"/>
          <w:sz w:val="32"/>
          <w:szCs w:val="24"/>
        </w:rPr>
      </w:pPr>
      <w:r>
        <w:rPr>
          <w:rFonts w:hint="eastAsia" w:ascii="仿宋_GB2312" w:hAnsi="仿宋_GB2312" w:eastAsia="仿宋_GB2312"/>
          <w:sz w:val="32"/>
          <w:szCs w:val="24"/>
        </w:rPr>
        <w:t>（一）预算绩效管理工作开展情况</w:t>
      </w:r>
    </w:p>
    <w:p>
      <w:pPr>
        <w:widowControl w:val="0"/>
        <w:autoSpaceDE w:val="0"/>
        <w:autoSpaceDN w:val="0"/>
        <w:spacing w:beforeLines="0" w:afterLines="0" w:line="580" w:lineRule="exact"/>
        <w:ind w:firstLine="600"/>
        <w:rPr>
          <w:rFonts w:hint="eastAsia" w:ascii="仿宋_GB2312" w:hAnsi="仿宋_GB2312" w:eastAsia="仿宋_GB2312"/>
          <w:sz w:val="32"/>
          <w:szCs w:val="24"/>
        </w:rPr>
      </w:pPr>
      <w:r>
        <w:rPr>
          <w:rFonts w:hint="eastAsia" w:ascii="仿宋_GB2312" w:hAnsi="仿宋_GB2312" w:eastAsia="仿宋_GB2312"/>
          <w:sz w:val="32"/>
          <w:szCs w:val="24"/>
        </w:rPr>
        <w:t>（二）部门决算中项目绩效自评结果</w:t>
      </w:r>
    </w:p>
    <w:p>
      <w:pPr>
        <w:widowControl w:val="0"/>
        <w:autoSpaceDE w:val="0"/>
        <w:autoSpaceDN w:val="0"/>
        <w:spacing w:beforeLines="0" w:afterLines="0" w:line="580" w:lineRule="exact"/>
        <w:ind w:firstLine="600"/>
        <w:rPr>
          <w:rFonts w:hint="default" w:eastAsia="Times New Roman"/>
          <w:sz w:val="32"/>
          <w:szCs w:val="24"/>
        </w:rPr>
      </w:pPr>
      <w:r>
        <w:rPr>
          <w:rFonts w:hint="eastAsia" w:ascii="仿宋_GB2312" w:hAnsi="仿宋_GB2312" w:eastAsia="仿宋_GB2312"/>
          <w:sz w:val="32"/>
          <w:szCs w:val="24"/>
        </w:rPr>
        <w:t>（三）部门评价项目绩效评价结果</w:t>
      </w:r>
    </w:p>
    <w:p>
      <w:pPr>
        <w:widowControl w:val="0"/>
        <w:autoSpaceDE w:val="0"/>
        <w:autoSpaceDN w:val="0"/>
        <w:spacing w:beforeLines="0" w:afterLines="0" w:line="580" w:lineRule="exact"/>
        <w:ind w:firstLine="601"/>
        <w:rPr>
          <w:rFonts w:hint="default" w:eastAsia="Times New Roman"/>
          <w:sz w:val="32"/>
          <w:szCs w:val="24"/>
        </w:rPr>
      </w:pPr>
      <w:r>
        <w:rPr>
          <w:rFonts w:hint="eastAsia" w:ascii="仿宋_GB2312" w:hAnsi="仿宋_GB2312" w:eastAsia="仿宋_GB2312"/>
          <w:sz w:val="32"/>
          <w:szCs w:val="24"/>
        </w:rPr>
        <w:t>四、其他重要事项的情况说明</w:t>
      </w:r>
    </w:p>
    <w:p>
      <w:pPr>
        <w:widowControl w:val="0"/>
        <w:autoSpaceDE w:val="0"/>
        <w:autoSpaceDN w:val="0"/>
        <w:spacing w:beforeLines="0" w:afterLines="0" w:line="580" w:lineRule="exact"/>
        <w:ind w:firstLine="601"/>
        <w:rPr>
          <w:rFonts w:hint="default" w:eastAsia="Times New Roman"/>
          <w:sz w:val="32"/>
          <w:szCs w:val="24"/>
        </w:rPr>
      </w:pPr>
      <w:r>
        <w:rPr>
          <w:rFonts w:hint="eastAsia" w:ascii="仿宋_GB2312" w:hAnsi="仿宋_GB2312" w:eastAsia="仿宋_GB2312"/>
          <w:sz w:val="32"/>
          <w:szCs w:val="24"/>
        </w:rPr>
        <w:t>（一）机关运行经费支出情况</w:t>
      </w:r>
    </w:p>
    <w:p>
      <w:pPr>
        <w:widowControl w:val="0"/>
        <w:autoSpaceDE w:val="0"/>
        <w:autoSpaceDN w:val="0"/>
        <w:spacing w:beforeLines="0" w:afterLines="0" w:line="580" w:lineRule="exact"/>
        <w:ind w:firstLine="601"/>
        <w:rPr>
          <w:rFonts w:hint="default" w:eastAsia="Times New Roman"/>
          <w:sz w:val="32"/>
          <w:szCs w:val="24"/>
        </w:rPr>
      </w:pPr>
      <w:r>
        <w:rPr>
          <w:rFonts w:hint="eastAsia" w:ascii="仿宋_GB2312" w:hAnsi="仿宋_GB2312" w:eastAsia="仿宋_GB2312"/>
          <w:sz w:val="32"/>
          <w:szCs w:val="24"/>
        </w:rPr>
        <w:t>（二）政府采购支出情况</w:t>
      </w:r>
    </w:p>
    <w:p>
      <w:pPr>
        <w:widowControl w:val="0"/>
        <w:autoSpaceDE w:val="0"/>
        <w:autoSpaceDN w:val="0"/>
        <w:spacing w:beforeLines="0" w:afterLines="0" w:line="580" w:lineRule="exact"/>
        <w:ind w:firstLine="601"/>
        <w:rPr>
          <w:rFonts w:hint="default" w:eastAsia="Times New Roman"/>
          <w:sz w:val="32"/>
          <w:szCs w:val="24"/>
        </w:rPr>
      </w:pPr>
      <w:r>
        <w:rPr>
          <w:rFonts w:hint="eastAsia" w:ascii="仿宋_GB2312" w:hAnsi="仿宋_GB2312" w:eastAsia="仿宋_GB2312"/>
          <w:sz w:val="32"/>
          <w:szCs w:val="24"/>
        </w:rPr>
        <w:t>（三）国有资产占用情况</w:t>
      </w:r>
    </w:p>
    <w:p>
      <w:pPr>
        <w:widowControl w:val="0"/>
        <w:autoSpaceDE w:val="0"/>
        <w:autoSpaceDN w:val="0"/>
        <w:spacing w:beforeLines="0" w:afterLines="0" w:line="580" w:lineRule="exact"/>
        <w:ind w:firstLine="601"/>
        <w:rPr>
          <w:rFonts w:hint="default" w:eastAsia="Times New Roman"/>
          <w:b/>
          <w:sz w:val="32"/>
          <w:szCs w:val="24"/>
        </w:rPr>
      </w:pPr>
      <w:bookmarkStart w:id="0" w:name="_GoBack"/>
      <w:bookmarkEnd w:id="0"/>
      <w:r>
        <w:rPr>
          <w:rFonts w:hint="eastAsia" w:ascii="黑体" w:hAnsi="黑体" w:eastAsia="黑体"/>
          <w:b/>
          <w:sz w:val="32"/>
          <w:szCs w:val="24"/>
        </w:rPr>
        <w:t>第三部分 名词解释</w:t>
      </w:r>
    </w:p>
    <w:p>
      <w:pPr>
        <w:widowControl w:val="0"/>
        <w:autoSpaceDE w:val="0"/>
        <w:autoSpaceDN w:val="0"/>
        <w:spacing w:beforeLines="0" w:afterLines="0" w:line="580" w:lineRule="exact"/>
        <w:ind w:firstLine="601"/>
        <w:rPr>
          <w:rFonts w:hint="default" w:eastAsia="Times New Roman"/>
          <w:b/>
          <w:sz w:val="32"/>
          <w:szCs w:val="24"/>
        </w:rPr>
      </w:pPr>
      <w:r>
        <w:rPr>
          <w:rFonts w:hint="eastAsia" w:ascii="黑体" w:hAnsi="黑体" w:eastAsia="黑体"/>
          <w:b/>
          <w:sz w:val="32"/>
          <w:szCs w:val="24"/>
        </w:rPr>
        <w:t>第四部分 决算公开联系方式及信息反馈渠道</w:t>
      </w:r>
    </w:p>
    <w:p>
      <w:pPr>
        <w:widowControl w:val="0"/>
        <w:autoSpaceDE w:val="0"/>
        <w:autoSpaceDN w:val="0"/>
        <w:spacing w:beforeLines="0" w:afterLines="0" w:line="580" w:lineRule="exact"/>
        <w:ind w:firstLine="601"/>
        <w:rPr>
          <w:rFonts w:hint="default" w:eastAsia="Times New Roman"/>
          <w:b/>
          <w:sz w:val="32"/>
          <w:szCs w:val="24"/>
        </w:rPr>
      </w:pPr>
      <w:r>
        <w:rPr>
          <w:rFonts w:hint="eastAsia" w:ascii="黑体" w:hAnsi="黑体" w:eastAsia="黑体"/>
          <w:b/>
          <w:sz w:val="32"/>
          <w:szCs w:val="24"/>
        </w:rPr>
        <w:t>第五部分 部门决算公开表</w:t>
      </w:r>
    </w:p>
    <w:p>
      <w:pPr>
        <w:widowControl w:val="0"/>
        <w:autoSpaceDE w:val="0"/>
        <w:autoSpaceDN w:val="0"/>
        <w:spacing w:beforeLines="0" w:afterLines="0" w:line="580" w:lineRule="exact"/>
        <w:ind w:firstLine="601"/>
        <w:rPr>
          <w:rFonts w:hint="default" w:eastAsia="Times New Roman"/>
          <w:sz w:val="32"/>
          <w:szCs w:val="24"/>
        </w:rPr>
      </w:pPr>
      <w:r>
        <w:rPr>
          <w:rFonts w:hint="eastAsia" w:ascii="仿宋_GB2312" w:hAnsi="仿宋_GB2312" w:eastAsia="仿宋_GB2312"/>
          <w:sz w:val="32"/>
          <w:szCs w:val="24"/>
        </w:rPr>
        <w:t>一、收入支出决算总表</w:t>
      </w:r>
    </w:p>
    <w:p>
      <w:pPr>
        <w:widowControl w:val="0"/>
        <w:autoSpaceDE w:val="0"/>
        <w:autoSpaceDN w:val="0"/>
        <w:spacing w:beforeLines="0" w:afterLines="0" w:line="580" w:lineRule="exact"/>
        <w:ind w:firstLine="601"/>
        <w:rPr>
          <w:rFonts w:hint="default" w:eastAsia="Times New Roman"/>
          <w:sz w:val="32"/>
          <w:szCs w:val="24"/>
        </w:rPr>
      </w:pPr>
      <w:r>
        <w:rPr>
          <w:rFonts w:hint="eastAsia" w:ascii="仿宋_GB2312" w:hAnsi="仿宋_GB2312" w:eastAsia="仿宋_GB2312"/>
          <w:sz w:val="32"/>
          <w:szCs w:val="24"/>
        </w:rPr>
        <w:t>二、收入决算表</w:t>
      </w:r>
    </w:p>
    <w:p>
      <w:pPr>
        <w:widowControl w:val="0"/>
        <w:autoSpaceDE w:val="0"/>
        <w:autoSpaceDN w:val="0"/>
        <w:spacing w:beforeLines="0" w:afterLines="0" w:line="580" w:lineRule="exact"/>
        <w:ind w:firstLine="601"/>
        <w:rPr>
          <w:rFonts w:hint="default" w:eastAsia="Times New Roman"/>
          <w:sz w:val="32"/>
          <w:szCs w:val="24"/>
        </w:rPr>
      </w:pPr>
      <w:r>
        <w:rPr>
          <w:rFonts w:hint="eastAsia" w:ascii="仿宋_GB2312" w:hAnsi="仿宋_GB2312" w:eastAsia="仿宋_GB2312"/>
          <w:sz w:val="32"/>
          <w:szCs w:val="24"/>
        </w:rPr>
        <w:t>三、支出决算表</w:t>
      </w:r>
    </w:p>
    <w:p>
      <w:pPr>
        <w:widowControl w:val="0"/>
        <w:autoSpaceDE w:val="0"/>
        <w:autoSpaceDN w:val="0"/>
        <w:spacing w:beforeLines="0" w:afterLines="0" w:line="580" w:lineRule="exact"/>
        <w:ind w:firstLine="601"/>
        <w:rPr>
          <w:rFonts w:hint="default" w:eastAsia="Times New Roman"/>
          <w:sz w:val="32"/>
          <w:szCs w:val="24"/>
        </w:rPr>
      </w:pPr>
      <w:r>
        <w:rPr>
          <w:rFonts w:hint="eastAsia" w:ascii="仿宋_GB2312" w:hAnsi="仿宋_GB2312" w:eastAsia="仿宋_GB2312"/>
          <w:sz w:val="32"/>
          <w:szCs w:val="24"/>
        </w:rPr>
        <w:t>四、财政拨款收入支出决算总表</w:t>
      </w:r>
    </w:p>
    <w:p>
      <w:pPr>
        <w:widowControl w:val="0"/>
        <w:autoSpaceDE w:val="0"/>
        <w:autoSpaceDN w:val="0"/>
        <w:spacing w:beforeLines="0" w:afterLines="0" w:line="580" w:lineRule="exact"/>
        <w:ind w:firstLine="601"/>
        <w:rPr>
          <w:rFonts w:hint="default" w:eastAsia="Times New Roman"/>
          <w:sz w:val="32"/>
          <w:szCs w:val="24"/>
        </w:rPr>
      </w:pPr>
      <w:r>
        <w:rPr>
          <w:rFonts w:hint="eastAsia" w:ascii="仿宋_GB2312" w:hAnsi="仿宋_GB2312" w:eastAsia="仿宋_GB2312"/>
          <w:sz w:val="32"/>
          <w:szCs w:val="24"/>
        </w:rPr>
        <w:t>五、一般公共预算财政拨款支出决算表</w:t>
      </w:r>
    </w:p>
    <w:p>
      <w:pPr>
        <w:widowControl w:val="0"/>
        <w:autoSpaceDE w:val="0"/>
        <w:autoSpaceDN w:val="0"/>
        <w:spacing w:beforeLines="0" w:afterLines="0" w:line="580" w:lineRule="exact"/>
        <w:ind w:firstLine="601"/>
        <w:rPr>
          <w:rFonts w:hint="default" w:eastAsia="Times New Roman"/>
          <w:sz w:val="32"/>
          <w:szCs w:val="24"/>
        </w:rPr>
      </w:pPr>
      <w:r>
        <w:rPr>
          <w:rFonts w:hint="eastAsia" w:ascii="仿宋_GB2312" w:hAnsi="仿宋_GB2312" w:eastAsia="仿宋_GB2312"/>
          <w:sz w:val="32"/>
          <w:szCs w:val="24"/>
        </w:rPr>
        <w:t>六、一般公共预算财政拨款基本支出决算明细表</w:t>
      </w:r>
    </w:p>
    <w:p>
      <w:pPr>
        <w:widowControl w:val="0"/>
        <w:autoSpaceDE w:val="0"/>
        <w:autoSpaceDN w:val="0"/>
        <w:spacing w:beforeLines="0" w:afterLines="0" w:line="580" w:lineRule="exact"/>
        <w:ind w:firstLine="601"/>
        <w:rPr>
          <w:rFonts w:hint="eastAsia" w:ascii="仿宋_GB2312" w:hAnsi="仿宋_GB2312" w:eastAsia="仿宋_GB2312"/>
          <w:sz w:val="32"/>
          <w:szCs w:val="24"/>
        </w:rPr>
      </w:pPr>
      <w:r>
        <w:rPr>
          <w:rFonts w:hint="eastAsia" w:ascii="仿宋_GB2312" w:hAnsi="仿宋_GB2312" w:eastAsia="仿宋_GB2312"/>
          <w:sz w:val="32"/>
          <w:szCs w:val="24"/>
        </w:rPr>
        <w:t>七、政府性基金预算财政拨款收入支出决算表</w:t>
      </w:r>
    </w:p>
    <w:p>
      <w:pPr>
        <w:widowControl w:val="0"/>
        <w:autoSpaceDE w:val="0"/>
        <w:autoSpaceDN w:val="0"/>
        <w:spacing w:beforeLines="0" w:afterLines="0" w:line="580" w:lineRule="exact"/>
        <w:ind w:firstLine="601"/>
        <w:rPr>
          <w:rFonts w:hint="default" w:eastAsia="Times New Roman"/>
          <w:sz w:val="32"/>
          <w:szCs w:val="24"/>
        </w:rPr>
      </w:pPr>
      <w:r>
        <w:rPr>
          <w:rFonts w:hint="eastAsia" w:ascii="仿宋_GB2312" w:hAnsi="仿宋_GB2312" w:eastAsia="仿宋_GB2312"/>
          <w:sz w:val="32"/>
          <w:szCs w:val="24"/>
        </w:rPr>
        <w:t>八、国有资本经营预算财政拨款收入支出决算表</w:t>
      </w:r>
    </w:p>
    <w:p>
      <w:pPr>
        <w:widowControl w:val="0"/>
        <w:autoSpaceDE w:val="0"/>
        <w:autoSpaceDN w:val="0"/>
        <w:spacing w:beforeLines="0" w:afterLines="0" w:line="580" w:lineRule="exact"/>
        <w:ind w:firstLine="601"/>
        <w:rPr>
          <w:rFonts w:hint="default" w:eastAsia="Times New Roman"/>
          <w:sz w:val="32"/>
          <w:szCs w:val="24"/>
        </w:rPr>
      </w:pPr>
      <w:r>
        <w:rPr>
          <w:rFonts w:hint="eastAsia" w:ascii="仿宋_GB2312" w:hAnsi="仿宋_GB2312" w:eastAsia="仿宋_GB2312"/>
          <w:sz w:val="32"/>
          <w:szCs w:val="24"/>
        </w:rPr>
        <w:t>九、机构运行信息表</w:t>
      </w:r>
    </w:p>
    <w:p>
      <w:pPr>
        <w:widowControl w:val="0"/>
        <w:autoSpaceDE w:val="0"/>
        <w:autoSpaceDN w:val="0"/>
        <w:spacing w:beforeLines="0" w:afterLines="0"/>
        <w:ind w:firstLine="601"/>
        <w:rPr>
          <w:rFonts w:hint="default" w:eastAsia="Times New Roman"/>
          <w:b/>
          <w:sz w:val="44"/>
          <w:szCs w:val="24"/>
        </w:rPr>
      </w:pPr>
    </w:p>
    <w:p>
      <w:pPr>
        <w:widowControl w:val="0"/>
        <w:autoSpaceDE w:val="0"/>
        <w:autoSpaceDN w:val="0"/>
        <w:spacing w:beforeLines="0" w:afterLines="0" w:line="580" w:lineRule="exact"/>
        <w:ind w:firstLine="600"/>
        <w:jc w:val="center"/>
        <w:rPr>
          <w:rFonts w:hint="eastAsia" w:ascii="黑体" w:hAnsi="黑体" w:eastAsia="黑体" w:cs="黑体"/>
          <w:b/>
          <w:sz w:val="32"/>
          <w:szCs w:val="24"/>
        </w:rPr>
      </w:pPr>
      <w:r>
        <w:rPr>
          <w:rFonts w:hint="default" w:eastAsia="Times New Roman"/>
          <w:b/>
          <w:sz w:val="36"/>
          <w:szCs w:val="24"/>
        </w:rPr>
        <w:br w:type="page"/>
      </w:r>
      <w:r>
        <w:rPr>
          <w:rFonts w:hint="eastAsia" w:ascii="黑体" w:hAnsi="黑体" w:eastAsia="黑体" w:cs="黑体"/>
          <w:b/>
          <w:sz w:val="32"/>
          <w:szCs w:val="24"/>
        </w:rPr>
        <w:t>第一部分 部门基本情况</w:t>
      </w:r>
    </w:p>
    <w:p>
      <w:pPr>
        <w:widowControl w:val="0"/>
        <w:autoSpaceDE w:val="0"/>
        <w:autoSpaceDN w:val="0"/>
        <w:spacing w:beforeLines="0" w:afterLines="0" w:line="580" w:lineRule="exact"/>
        <w:ind w:firstLine="600"/>
        <w:rPr>
          <w:rFonts w:hint="default" w:eastAsia="Times New Roman"/>
          <w:b/>
          <w:sz w:val="32"/>
          <w:szCs w:val="24"/>
        </w:rPr>
      </w:pPr>
      <w:r>
        <w:rPr>
          <w:rFonts w:hint="eastAsia" w:ascii="仿宋_GB2312" w:hAnsi="仿宋_GB2312" w:eastAsia="仿宋_GB2312"/>
          <w:b/>
          <w:sz w:val="32"/>
          <w:szCs w:val="24"/>
        </w:rPr>
        <w:t>一、部门职责</w:t>
      </w:r>
    </w:p>
    <w:p>
      <w:pPr>
        <w:widowControl w:val="0"/>
        <w:autoSpaceDE w:val="0"/>
        <w:autoSpaceDN w:val="0"/>
        <w:spacing w:beforeLines="0" w:afterLines="0" w:line="580" w:lineRule="exact"/>
        <w:ind w:firstLine="600"/>
        <w:rPr>
          <w:rFonts w:hint="eastAsia" w:ascii="仿宋_GB2312" w:hAnsi="仿宋_GB2312" w:eastAsia="仿宋_GB2312"/>
          <w:sz w:val="32"/>
          <w:szCs w:val="24"/>
        </w:rPr>
      </w:pPr>
      <w:r>
        <w:rPr>
          <w:rFonts w:hint="eastAsia" w:ascii="仿宋_GB2312" w:hAnsi="仿宋_GB2312" w:eastAsia="仿宋_GB2312"/>
          <w:sz w:val="32"/>
          <w:szCs w:val="24"/>
        </w:rPr>
        <w:t>负责协调、监督管理和指导全旗政务服务和公共资源交易工作。代表旗本级政府集中为社会公众提供相关政务服务，办理各类行政许可、非行政许可审批和公共服务事项。做好对重大项目审批的综合协调，组织相关部门开展联合审批、现场服务和项目跟踪服务。协调处理中心运行中进驻各部门之间的工作关系；会同旗纪检监察部门对中心各窗口、进驻部门开展政务服务和公共资源交易事项、人员进行管理、考核和监督检查。负责旗级公共资源进场交易的组织实施和综合服务工作。负责收集、存储、发布旗级公共资源交易信息；提供旗级公共资源法律、法规、政策和技术咨询服务。承担中心信息网络系统建设、业务培训和运行管理办法的制定并组织实施。负责受理对旗政务服务和公共资源交易工作相关的投诉，并按有关规定进行处理。承办旗委、政府交办的其他工作。</w:t>
      </w:r>
    </w:p>
    <w:p>
      <w:pPr>
        <w:widowControl w:val="0"/>
        <w:numPr>
          <w:ilvl w:val="0"/>
          <w:numId w:val="1"/>
        </w:numPr>
        <w:autoSpaceDE w:val="0"/>
        <w:autoSpaceDN w:val="0"/>
        <w:spacing w:beforeLines="0" w:afterLines="0" w:line="580"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切实做好相对集中行使行政审批权</w:t>
      </w:r>
    </w:p>
    <w:p>
      <w:pPr>
        <w:widowControl w:val="0"/>
        <w:autoSpaceDE w:val="0"/>
        <w:autoSpaceDN w:val="0"/>
        <w:spacing w:beforeLines="0" w:afterLines="0" w:line="580"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全面落实相对集中许可权改革各项工作任务。抓住改革的核心，按照“成熟一批、划转一批”的原则，坚持问题导向，科学划转审批事项。切实做到“两个分离”，“”“审管分离”和“受审分离”。</w:t>
      </w:r>
    </w:p>
    <w:p>
      <w:pPr>
        <w:widowControl w:val="0"/>
        <w:numPr>
          <w:ilvl w:val="0"/>
          <w:numId w:val="1"/>
        </w:numPr>
        <w:autoSpaceDE w:val="0"/>
        <w:autoSpaceDN w:val="0"/>
        <w:spacing w:beforeLines="0" w:afterLines="0" w:line="580"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全力推进“一网一门一次”改革</w:t>
      </w:r>
    </w:p>
    <w:p>
      <w:pPr>
        <w:widowControl w:val="0"/>
        <w:autoSpaceDE w:val="0"/>
        <w:autoSpaceDN w:val="0"/>
        <w:spacing w:beforeLines="0" w:afterLines="0" w:line="580" w:lineRule="exact"/>
        <w:ind w:left="200"/>
        <w:rPr>
          <w:rFonts w:hint="eastAsia" w:ascii="仿宋_GB2312" w:hAnsi="仿宋_GB2312" w:eastAsia="仿宋_GB2312"/>
          <w:sz w:val="32"/>
          <w:szCs w:val="24"/>
        </w:rPr>
      </w:pPr>
      <w:r>
        <w:rPr>
          <w:rFonts w:hint="eastAsia" w:ascii="仿宋_GB2312" w:hAnsi="仿宋_GB2312" w:eastAsia="仿宋_GB2312"/>
          <w:sz w:val="32"/>
          <w:szCs w:val="24"/>
        </w:rPr>
        <w:t>“一网”方面，推动部门专网与自治区一体化政务服务平台实现对接，按上级要求进一步完善，最终实现“一网通办”；“一门”方面，积极推动行政审批政务服务大厅建设，新大厅投入使用后将原政务服务中心、不动产分中心、住房公积金、人社分中心（社保、医保、低保、婚姻登记）整体迁入新大厅，同时，在新大厅设公安和税务窗口，使企业和群众办事真正实现“只进一扇门”；“一次”方面，全面梳理最多“跑一次”事项清单、优化审批流程，提升企业群众便利度。</w:t>
      </w:r>
    </w:p>
    <w:p>
      <w:pPr>
        <w:widowControl w:val="0"/>
        <w:numPr>
          <w:ilvl w:val="0"/>
          <w:numId w:val="1"/>
        </w:numPr>
        <w:autoSpaceDE w:val="0"/>
        <w:autoSpaceDN w:val="0"/>
        <w:spacing w:beforeLines="0" w:afterLines="0" w:line="580" w:lineRule="exact"/>
        <w:ind w:left="200"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持续推进基层服务便民化改革</w:t>
      </w:r>
    </w:p>
    <w:p>
      <w:pPr>
        <w:widowControl w:val="0"/>
        <w:autoSpaceDE w:val="0"/>
        <w:autoSpaceDN w:val="0"/>
        <w:spacing w:beforeLines="0" w:afterLines="0" w:line="580"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推进便民服务中心和嘎查村便民服务点规范化标准化建设。推动苏木乡镇场和街道将面向群众的事项全部纳入便民服务中心集中办理，配套服务设施，完善窗口、咨询、投诉受理、等候、自助申报等服务功能，为群众办事提供便利条件。开展嘎查村便民服务点规范化标准化建设，实现“十一个”标准。</w:t>
      </w:r>
    </w:p>
    <w:p>
      <w:pPr>
        <w:widowControl w:val="0"/>
        <w:numPr>
          <w:ilvl w:val="0"/>
          <w:numId w:val="1"/>
        </w:numPr>
        <w:autoSpaceDE w:val="0"/>
        <w:autoSpaceDN w:val="0"/>
        <w:spacing w:beforeLines="0" w:afterLines="0" w:line="580"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积极推进“互联网+监管”平台建设</w:t>
      </w:r>
    </w:p>
    <w:p>
      <w:pPr>
        <w:widowControl w:val="0"/>
        <w:autoSpaceDE w:val="0"/>
        <w:autoSpaceDN w:val="0"/>
        <w:spacing w:beforeLines="0" w:afterLines="0" w:line="580" w:lineRule="exact"/>
        <w:ind w:left="420" w:leftChars="200"/>
        <w:rPr>
          <w:rFonts w:hint="eastAsia" w:ascii="仿宋_GB2312" w:hAnsi="仿宋_GB2312" w:eastAsia="仿宋_GB2312"/>
          <w:sz w:val="32"/>
          <w:szCs w:val="24"/>
        </w:rPr>
      </w:pPr>
      <w:r>
        <w:rPr>
          <w:rFonts w:hint="eastAsia" w:ascii="仿宋_GB2312" w:hAnsi="仿宋_GB2312" w:eastAsia="仿宋_GB2312"/>
          <w:sz w:val="32"/>
          <w:szCs w:val="24"/>
        </w:rPr>
        <w:t>完善平台清单认领编制。按照《自治区“互联网+监管”系统建设实施方案》，运行“互联网+监管”系统，做好监管事项认领和清单编制，进一步明确“互联网+监管”系统的业务流程和责任分工，逐步实现监管事项全覆盖、监管数据全汇聚、监管行为全纪录。</w:t>
      </w:r>
    </w:p>
    <w:p>
      <w:pPr>
        <w:widowControl w:val="0"/>
        <w:numPr>
          <w:ilvl w:val="0"/>
          <w:numId w:val="1"/>
        </w:numPr>
        <w:autoSpaceDE w:val="0"/>
        <w:autoSpaceDN w:val="0"/>
        <w:spacing w:beforeLines="0" w:afterLines="0" w:line="580" w:lineRule="exact"/>
        <w:ind w:left="200"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持续推进12345服务热线</w:t>
      </w:r>
    </w:p>
    <w:p>
      <w:pPr>
        <w:widowControl w:val="0"/>
        <w:autoSpaceDE w:val="0"/>
        <w:autoSpaceDN w:val="0"/>
        <w:spacing w:beforeLines="0" w:afterLines="0" w:line="580" w:lineRule="exact"/>
        <w:ind w:left="420" w:leftChars="200"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进一步发挥12345市民服务热线分中心的监督协调指导作用，加大对“街镇（苏木）统办”“接诉即办”等工作的推进力度。</w:t>
      </w:r>
    </w:p>
    <w:p>
      <w:pPr>
        <w:widowControl w:val="0"/>
        <w:numPr>
          <w:ilvl w:val="0"/>
          <w:numId w:val="1"/>
        </w:numPr>
        <w:autoSpaceDE w:val="0"/>
        <w:autoSpaceDN w:val="0"/>
        <w:spacing w:beforeLines="0" w:afterLines="0" w:line="580" w:lineRule="exact"/>
        <w:ind w:left="200"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负责协调、监督管理和指导全旗政务服务和公共资源交易工作。</w:t>
      </w:r>
    </w:p>
    <w:p>
      <w:pPr>
        <w:widowControl w:val="0"/>
        <w:numPr>
          <w:ilvl w:val="0"/>
          <w:numId w:val="1"/>
        </w:numPr>
        <w:autoSpaceDE w:val="0"/>
        <w:autoSpaceDN w:val="0"/>
        <w:spacing w:beforeLines="0" w:afterLines="0" w:line="580" w:lineRule="exact"/>
        <w:ind w:left="200"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代表旗本级政府集中为社会公众提供相关政务服务，办理各类行政许可、非行政许可审批和公共服务事项。</w:t>
      </w:r>
    </w:p>
    <w:p>
      <w:pPr>
        <w:widowControl w:val="0"/>
        <w:numPr>
          <w:ilvl w:val="0"/>
          <w:numId w:val="1"/>
        </w:numPr>
        <w:autoSpaceDE w:val="0"/>
        <w:autoSpaceDN w:val="0"/>
        <w:spacing w:beforeLines="0" w:afterLines="0" w:line="580" w:lineRule="exact"/>
        <w:ind w:left="200"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做好对重大项目审批的综合协调，组织相关部门开展联合审批、现场服务和项目跟踪服务。</w:t>
      </w:r>
    </w:p>
    <w:p>
      <w:pPr>
        <w:widowControl w:val="0"/>
        <w:numPr>
          <w:ilvl w:val="0"/>
          <w:numId w:val="1"/>
        </w:numPr>
        <w:autoSpaceDE w:val="0"/>
        <w:autoSpaceDN w:val="0"/>
        <w:spacing w:beforeLines="0" w:afterLines="0" w:line="580" w:lineRule="exact"/>
        <w:ind w:left="200"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协调处理中心运行中进驻各部门之间的工作关系；</w:t>
      </w:r>
    </w:p>
    <w:p>
      <w:pPr>
        <w:widowControl w:val="0"/>
        <w:numPr>
          <w:ilvl w:val="0"/>
          <w:numId w:val="2"/>
        </w:numPr>
        <w:autoSpaceDE w:val="0"/>
        <w:autoSpaceDN w:val="0"/>
        <w:spacing w:beforeLines="0" w:afterLines="0" w:line="580" w:lineRule="exact"/>
        <w:ind w:firstLine="600"/>
        <w:rPr>
          <w:rFonts w:hint="eastAsia" w:ascii="仿宋_GB2312" w:hAnsi="仿宋_GB2312" w:eastAsia="仿宋_GB2312"/>
          <w:b/>
          <w:sz w:val="32"/>
          <w:szCs w:val="24"/>
        </w:rPr>
      </w:pPr>
      <w:r>
        <w:rPr>
          <w:rFonts w:hint="eastAsia" w:ascii="仿宋_GB2312" w:hAnsi="仿宋_GB2312" w:eastAsia="仿宋_GB2312"/>
          <w:b/>
          <w:sz w:val="32"/>
          <w:szCs w:val="24"/>
        </w:rPr>
        <w:t>机构设置</w:t>
      </w:r>
    </w:p>
    <w:p>
      <w:pPr>
        <w:spacing w:beforeLines="0" w:afterLines="0" w:line="500" w:lineRule="atLeast"/>
        <w:ind w:firstLine="640"/>
        <w:rPr>
          <w:rFonts w:hint="default" w:eastAsia="Times New Roman"/>
          <w:sz w:val="32"/>
          <w:szCs w:val="24"/>
        </w:rPr>
      </w:pPr>
      <w:r>
        <w:rPr>
          <w:rFonts w:hint="eastAsia" w:ascii="仿宋_GB2312" w:eastAsia="仿宋_GB2312"/>
          <w:sz w:val="32"/>
          <w:szCs w:val="24"/>
        </w:rPr>
        <w:t>从预算单位构成看奈曼旗行政审批和政务服务</w:t>
      </w:r>
      <w:r>
        <w:rPr>
          <w:rFonts w:hint="eastAsia" w:ascii="楷体_GB2312" w:eastAsia="楷体_GB2312"/>
          <w:sz w:val="32"/>
          <w:szCs w:val="24"/>
        </w:rPr>
        <w:t>局（办）</w:t>
      </w:r>
      <w:r>
        <w:rPr>
          <w:rFonts w:hint="eastAsia" w:ascii="仿宋_GB2312" w:eastAsia="仿宋_GB2312"/>
          <w:sz w:val="32"/>
          <w:szCs w:val="24"/>
        </w:rPr>
        <w:t>部门所属单位预算包括：奈曼旗政务服务中心。</w:t>
      </w:r>
    </w:p>
    <w:p>
      <w:pPr>
        <w:spacing w:beforeLines="0" w:afterLines="0" w:line="500" w:lineRule="atLeast"/>
        <w:ind w:firstLine="640"/>
        <w:rPr>
          <w:rFonts w:hint="eastAsia" w:ascii="楷体_GB2312" w:eastAsia="楷体_GB2312"/>
          <w:sz w:val="32"/>
          <w:szCs w:val="24"/>
        </w:rPr>
      </w:pPr>
      <w:r>
        <w:rPr>
          <w:rFonts w:hint="eastAsia" w:ascii="楷体_GB2312" w:eastAsia="楷体_GB2312"/>
          <w:sz w:val="32"/>
          <w:szCs w:val="24"/>
        </w:rPr>
        <w:t>（一）</w:t>
      </w:r>
      <w:r>
        <w:rPr>
          <w:rFonts w:hint="eastAsia" w:ascii="仿宋_GB2312" w:eastAsia="仿宋_GB2312"/>
          <w:sz w:val="32"/>
          <w:szCs w:val="24"/>
        </w:rPr>
        <w:t>奈曼旗行政审批和政务服务</w:t>
      </w:r>
      <w:r>
        <w:rPr>
          <w:rFonts w:hint="eastAsia" w:ascii="楷体_GB2312" w:eastAsia="楷体_GB2312"/>
          <w:sz w:val="32"/>
          <w:szCs w:val="24"/>
        </w:rPr>
        <w:t>局（办）所属单位机构及人员基本情况</w:t>
      </w:r>
    </w:p>
    <w:p>
      <w:pPr>
        <w:spacing w:beforeLines="0" w:afterLines="0" w:line="560" w:lineRule="atLeast"/>
        <w:ind w:firstLine="640"/>
        <w:rPr>
          <w:rFonts w:hint="eastAsia" w:ascii="仿宋_GB2312" w:eastAsia="仿宋_GB2312"/>
          <w:sz w:val="32"/>
          <w:szCs w:val="24"/>
        </w:rPr>
      </w:pPr>
      <w:r>
        <w:rPr>
          <w:rFonts w:hint="eastAsia" w:ascii="仿宋_GB2312" w:eastAsia="仿宋_GB2312"/>
          <w:sz w:val="32"/>
          <w:szCs w:val="24"/>
        </w:rPr>
        <w:t>局本级及下设独立预算单位共有1家，其中：财政拨款的行政单位1家，参照公务员法管理的事业单位为0家，公益一类事业单位为1家，公益二类事业单位0家。</w:t>
      </w:r>
    </w:p>
    <w:p>
      <w:pPr>
        <w:snapToGrid w:val="0"/>
        <w:spacing w:beforeLines="0" w:afterLines="0" w:line="520" w:lineRule="exact"/>
        <w:ind w:firstLine="640" w:firstLineChars="200"/>
        <w:rPr>
          <w:rFonts w:hint="eastAsia" w:ascii="仿宋_GB2312" w:hAnsi="仿宋" w:eastAsia="仿宋_GB2312"/>
          <w:sz w:val="32"/>
          <w:szCs w:val="24"/>
        </w:rPr>
      </w:pPr>
      <w:r>
        <w:rPr>
          <w:rFonts w:hint="eastAsia" w:ascii="仿宋_GB2312" w:eastAsia="仿宋_GB2312"/>
          <w:sz w:val="32"/>
          <w:szCs w:val="24"/>
        </w:rPr>
        <w:t>人员基本情况：</w:t>
      </w:r>
      <w:r>
        <w:rPr>
          <w:rFonts w:hint="eastAsia" w:ascii="仿宋_GB2312" w:hAnsi="仿宋" w:eastAsia="仿宋_GB2312"/>
          <w:sz w:val="32"/>
          <w:szCs w:val="24"/>
        </w:rPr>
        <w:t xml:space="preserve"> 旗行政审批和政务服务局，核定行政编制6名,在职人数5人。政务服务中心核定事业编制10名,在职人数14人。其他人员7人。</w:t>
      </w:r>
    </w:p>
    <w:p>
      <w:pPr>
        <w:spacing w:beforeLines="0" w:afterLines="0" w:line="560" w:lineRule="atLeast"/>
        <w:ind w:firstLine="640"/>
        <w:rPr>
          <w:rFonts w:hint="eastAsia" w:ascii="楷体_GB2312" w:eastAsia="楷体_GB2312"/>
          <w:sz w:val="32"/>
          <w:szCs w:val="24"/>
        </w:rPr>
      </w:pPr>
      <w:r>
        <w:rPr>
          <w:rFonts w:hint="eastAsia" w:ascii="楷体_GB2312" w:eastAsia="楷体_GB2312"/>
          <w:sz w:val="32"/>
          <w:szCs w:val="24"/>
        </w:rPr>
        <w:t>（二）奈曼旗行政审批和政务服务局属单位设置</w:t>
      </w:r>
    </w:p>
    <w:p>
      <w:pPr>
        <w:spacing w:beforeLines="0" w:afterLines="0" w:line="560" w:lineRule="atLeast"/>
        <w:ind w:firstLine="640"/>
        <w:jc w:val="center"/>
        <w:rPr>
          <w:rFonts w:hint="eastAsia" w:ascii="仿宋_GB2312" w:eastAsia="仿宋_GB2312"/>
          <w:sz w:val="32"/>
          <w:szCs w:val="24"/>
        </w:rPr>
      </w:pPr>
      <w:r>
        <w:rPr>
          <w:rFonts w:hint="eastAsia" w:ascii="仿宋_GB2312" w:eastAsia="仿宋_GB2312"/>
          <w:sz w:val="32"/>
          <w:szCs w:val="24"/>
        </w:rPr>
        <w:t>纳入20</w:t>
      </w:r>
      <w:r>
        <w:rPr>
          <w:rFonts w:hint="default"/>
          <w:sz w:val="32"/>
          <w:szCs w:val="24"/>
        </w:rPr>
        <w:t>21</w:t>
      </w:r>
      <w:r>
        <w:rPr>
          <w:rFonts w:hint="eastAsia" w:ascii="仿宋_GB2312" w:eastAsia="仿宋_GB2312"/>
          <w:sz w:val="32"/>
          <w:szCs w:val="24"/>
        </w:rPr>
        <w:t>年部门预算编制范围的二级预算单位情况：</w:t>
      </w:r>
    </w:p>
    <w:p>
      <w:pPr>
        <w:spacing w:beforeLines="0" w:afterLines="0" w:line="560" w:lineRule="atLeast"/>
        <w:ind w:firstLine="640"/>
        <w:jc w:val="center"/>
        <w:rPr>
          <w:rFonts w:hint="default" w:eastAsia="Times New Roman"/>
          <w:b/>
          <w:sz w:val="32"/>
          <w:szCs w:val="24"/>
        </w:rPr>
      </w:pPr>
      <w:r>
        <w:rPr>
          <w:rFonts w:hint="eastAsia" w:ascii="仿宋_GB2312" w:eastAsia="仿宋_GB2312"/>
          <w:b/>
          <w:sz w:val="32"/>
          <w:szCs w:val="24"/>
        </w:rPr>
        <w:t>单位情况表</w:t>
      </w:r>
    </w:p>
    <w:p>
      <w:pPr>
        <w:snapToGrid w:val="0"/>
        <w:spacing w:beforeLines="0" w:afterLines="0" w:line="560" w:lineRule="atLeast"/>
        <w:ind w:firstLine="640"/>
        <w:rPr>
          <w:rFonts w:hint="eastAsia" w:ascii="仿宋_GB2312" w:eastAsia="仿宋_GB2312"/>
          <w:color w:val="000000"/>
          <w:sz w:val="21"/>
          <w:szCs w:val="24"/>
        </w:rPr>
      </w:pPr>
      <w:r>
        <w:rPr>
          <w:rFonts w:hint="eastAsia" w:ascii="黑体" w:hAnsi="黑体" w:eastAsia="黑体"/>
          <w:color w:val="000000"/>
          <w:sz w:val="32"/>
          <w:szCs w:val="24"/>
        </w:rPr>
        <w:t xml:space="preserve">                                          </w:t>
      </w: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03"/>
        <w:gridCol w:w="3780"/>
        <w:gridCol w:w="33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eastAsia="仿宋_GB2312"/>
                <w:color w:val="000000"/>
                <w:sz w:val="32"/>
                <w:szCs w:val="24"/>
              </w:rPr>
            </w:pPr>
            <w:r>
              <w:rPr>
                <w:rFonts w:hint="eastAsia" w:ascii="仿宋_GB2312" w:eastAsia="仿宋_GB2312"/>
                <w:color w:val="000000"/>
                <w:sz w:val="32"/>
                <w:szCs w:val="24"/>
              </w:rPr>
              <w:t>序号</w:t>
            </w:r>
          </w:p>
        </w:tc>
        <w:tc>
          <w:tcPr>
            <w:tcW w:w="3780" w:type="dxa"/>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jc w:val="center"/>
              <w:rPr>
                <w:rFonts w:hint="eastAsia" w:ascii="仿宋_GB2312" w:eastAsia="仿宋_GB2312"/>
                <w:color w:val="000000"/>
                <w:sz w:val="32"/>
                <w:szCs w:val="24"/>
              </w:rPr>
            </w:pPr>
            <w:r>
              <w:rPr>
                <w:rFonts w:hint="eastAsia" w:ascii="仿宋_GB2312" w:eastAsia="仿宋_GB2312"/>
                <w:color w:val="000000"/>
                <w:sz w:val="32"/>
                <w:szCs w:val="24"/>
              </w:rPr>
              <w:t>单位名称</w:t>
            </w:r>
          </w:p>
        </w:tc>
        <w:tc>
          <w:tcPr>
            <w:tcW w:w="3326" w:type="dxa"/>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jc w:val="center"/>
              <w:rPr>
                <w:rFonts w:hint="eastAsia" w:ascii="仿宋_GB2312" w:eastAsia="仿宋_GB2312"/>
                <w:color w:val="000000"/>
                <w:sz w:val="32"/>
                <w:szCs w:val="24"/>
              </w:rPr>
            </w:pPr>
            <w:r>
              <w:rPr>
                <w:rFonts w:hint="eastAsia" w:ascii="仿宋_GB2312" w:eastAsia="仿宋_GB2312"/>
                <w:color w:val="000000"/>
                <w:sz w:val="32"/>
                <w:szCs w:val="24"/>
              </w:rPr>
              <w:t>单位性质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03"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eastAsia="仿宋_GB2312"/>
                <w:color w:val="000000"/>
                <w:sz w:val="32"/>
                <w:szCs w:val="24"/>
              </w:rPr>
            </w:pPr>
            <w:r>
              <w:rPr>
                <w:rFonts w:hint="eastAsia" w:ascii="仿宋_GB2312" w:eastAsia="仿宋_GB2312"/>
                <w:color w:val="000000"/>
                <w:sz w:val="32"/>
                <w:szCs w:val="24"/>
              </w:rPr>
              <w:t>1</w:t>
            </w:r>
          </w:p>
        </w:tc>
        <w:tc>
          <w:tcPr>
            <w:tcW w:w="3780" w:type="dxa"/>
            <w:tcBorders>
              <w:top w:val="nil"/>
              <w:left w:val="nil"/>
              <w:bottom w:val="single" w:color="000000" w:sz="4" w:space="0"/>
              <w:right w:val="single" w:color="000000" w:sz="4" w:space="0"/>
              <w:tl2br w:val="nil"/>
              <w:tr2bl w:val="nil"/>
            </w:tcBorders>
            <w:noWrap w:val="0"/>
            <w:vAlign w:val="center"/>
          </w:tcPr>
          <w:p>
            <w:pPr>
              <w:spacing w:beforeLines="0" w:afterLines="0"/>
              <w:jc w:val="left"/>
              <w:rPr>
                <w:rFonts w:hint="eastAsia" w:ascii="仿宋_GB2312" w:eastAsia="仿宋_GB2312"/>
                <w:color w:val="000000"/>
                <w:sz w:val="32"/>
                <w:szCs w:val="24"/>
              </w:rPr>
            </w:pPr>
            <w:r>
              <w:rPr>
                <w:rFonts w:hint="eastAsia" w:ascii="仿宋_GB2312" w:eastAsia="仿宋_GB2312"/>
                <w:color w:val="000000"/>
                <w:sz w:val="32"/>
                <w:szCs w:val="24"/>
              </w:rPr>
              <w:t>奈曼旗行政审批和政务服务局本级</w:t>
            </w:r>
          </w:p>
        </w:tc>
        <w:tc>
          <w:tcPr>
            <w:tcW w:w="3326" w:type="dxa"/>
            <w:tcBorders>
              <w:top w:val="nil"/>
              <w:left w:val="nil"/>
              <w:bottom w:val="single" w:color="000000" w:sz="4" w:space="0"/>
              <w:right w:val="single" w:color="000000" w:sz="4" w:space="0"/>
              <w:tl2br w:val="nil"/>
              <w:tr2bl w:val="nil"/>
            </w:tcBorders>
            <w:noWrap w:val="0"/>
            <w:vAlign w:val="center"/>
          </w:tcPr>
          <w:p>
            <w:pPr>
              <w:spacing w:beforeLines="0" w:afterLines="0"/>
              <w:jc w:val="center"/>
              <w:rPr>
                <w:rFonts w:hint="eastAsia" w:ascii="仿宋_GB2312" w:eastAsia="仿宋_GB2312"/>
                <w:color w:val="000000"/>
                <w:sz w:val="32"/>
                <w:szCs w:val="24"/>
              </w:rPr>
            </w:pPr>
            <w:r>
              <w:rPr>
                <w:rFonts w:hint="eastAsia" w:ascii="仿宋_GB2312" w:eastAsia="仿宋_GB2312"/>
                <w:color w:val="000000"/>
                <w:sz w:val="32"/>
                <w:szCs w:val="24"/>
              </w:rPr>
              <w:t>财政拨款的行政单位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jc w:val="center"/>
        </w:trPr>
        <w:tc>
          <w:tcPr>
            <w:tcW w:w="1203"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eastAsia="仿宋_GB2312"/>
                <w:color w:val="000000"/>
                <w:sz w:val="32"/>
                <w:szCs w:val="24"/>
              </w:rPr>
            </w:pPr>
            <w:r>
              <w:rPr>
                <w:rFonts w:hint="eastAsia" w:ascii="仿宋_GB2312" w:eastAsia="仿宋_GB2312"/>
                <w:color w:val="000000"/>
                <w:sz w:val="32"/>
                <w:szCs w:val="24"/>
              </w:rPr>
              <w:t>2</w:t>
            </w:r>
          </w:p>
        </w:tc>
        <w:tc>
          <w:tcPr>
            <w:tcW w:w="3780" w:type="dxa"/>
            <w:tcBorders>
              <w:top w:val="nil"/>
              <w:left w:val="nil"/>
              <w:bottom w:val="single" w:color="000000" w:sz="4" w:space="0"/>
              <w:right w:val="single" w:color="000000" w:sz="4" w:space="0"/>
              <w:tl2br w:val="nil"/>
              <w:tr2bl w:val="nil"/>
            </w:tcBorders>
            <w:noWrap w:val="0"/>
            <w:vAlign w:val="center"/>
          </w:tcPr>
          <w:p>
            <w:pPr>
              <w:spacing w:beforeLines="0" w:afterLines="0"/>
              <w:rPr>
                <w:rFonts w:hint="eastAsia" w:ascii="仿宋_GB2312" w:eastAsia="仿宋_GB2312"/>
                <w:color w:val="000000"/>
                <w:sz w:val="32"/>
                <w:szCs w:val="24"/>
              </w:rPr>
            </w:pPr>
            <w:r>
              <w:rPr>
                <w:rFonts w:hint="eastAsia" w:ascii="仿宋_GB2312" w:eastAsia="仿宋_GB2312"/>
                <w:color w:val="000000"/>
                <w:sz w:val="32"/>
                <w:szCs w:val="24"/>
              </w:rPr>
              <w:t>奈曼旗政务服务中心</w:t>
            </w:r>
          </w:p>
        </w:tc>
        <w:tc>
          <w:tcPr>
            <w:tcW w:w="3326" w:type="dxa"/>
            <w:tcBorders>
              <w:top w:val="nil"/>
              <w:left w:val="nil"/>
              <w:bottom w:val="single" w:color="000000" w:sz="4" w:space="0"/>
              <w:right w:val="single" w:color="000000" w:sz="4" w:space="0"/>
              <w:tl2br w:val="nil"/>
              <w:tr2bl w:val="nil"/>
            </w:tcBorders>
            <w:noWrap w:val="0"/>
            <w:vAlign w:val="center"/>
          </w:tcPr>
          <w:p>
            <w:pPr>
              <w:spacing w:beforeLines="0" w:afterLines="0"/>
              <w:jc w:val="center"/>
              <w:rPr>
                <w:rFonts w:hint="eastAsia" w:ascii="仿宋_GB2312" w:eastAsia="仿宋_GB2312"/>
                <w:color w:val="000000"/>
                <w:sz w:val="32"/>
                <w:szCs w:val="24"/>
              </w:rPr>
            </w:pPr>
            <w:r>
              <w:rPr>
                <w:rFonts w:hint="eastAsia" w:ascii="仿宋_GB2312" w:eastAsia="仿宋_GB2312"/>
                <w:color w:val="000000"/>
                <w:sz w:val="32"/>
                <w:szCs w:val="24"/>
              </w:rPr>
              <w:t>公益一类事业单位</w:t>
            </w:r>
          </w:p>
        </w:tc>
      </w:tr>
    </w:tbl>
    <w:p>
      <w:pPr>
        <w:widowControl w:val="0"/>
        <w:autoSpaceDE w:val="0"/>
        <w:autoSpaceDN w:val="0"/>
        <w:spacing w:beforeLines="0" w:afterLines="0" w:line="580" w:lineRule="exact"/>
        <w:ind w:firstLine="643" w:firstLineChars="200"/>
        <w:rPr>
          <w:rFonts w:hint="eastAsia" w:ascii="仿宋_GB2312" w:hAnsi="仿宋_GB2312" w:eastAsia="仿宋_GB2312"/>
          <w:b/>
          <w:sz w:val="32"/>
          <w:szCs w:val="24"/>
        </w:rPr>
      </w:pPr>
    </w:p>
    <w:p>
      <w:pPr>
        <w:widowControl w:val="0"/>
        <w:autoSpaceDE w:val="0"/>
        <w:autoSpaceDN w:val="0"/>
        <w:spacing w:beforeLines="0" w:afterLines="0" w:line="580" w:lineRule="exact"/>
        <w:ind w:firstLine="600"/>
        <w:rPr>
          <w:rFonts w:hint="default" w:eastAsia="Times New Roman"/>
          <w:color w:val="FF0000"/>
          <w:sz w:val="32"/>
          <w:szCs w:val="24"/>
        </w:rPr>
      </w:pPr>
    </w:p>
    <w:p>
      <w:pPr>
        <w:widowControl w:val="0"/>
        <w:autoSpaceDE w:val="0"/>
        <w:autoSpaceDN w:val="0"/>
        <w:spacing w:beforeLines="0" w:afterLines="0" w:line="580" w:lineRule="exact"/>
        <w:ind w:firstLine="600"/>
        <w:jc w:val="center"/>
        <w:rPr>
          <w:rFonts w:hint="eastAsia" w:ascii="黑体" w:hAnsi="黑体" w:eastAsia="黑体" w:cs="黑体"/>
          <w:b/>
          <w:sz w:val="32"/>
          <w:szCs w:val="24"/>
        </w:rPr>
      </w:pPr>
      <w:r>
        <w:rPr>
          <w:rFonts w:hint="eastAsia" w:ascii="黑体" w:hAnsi="黑体" w:eastAsia="黑体" w:cs="黑体"/>
          <w:b/>
          <w:sz w:val="32"/>
          <w:szCs w:val="24"/>
        </w:rPr>
        <w:t>第二部分 2020年度部门决算情况说明</w:t>
      </w:r>
    </w:p>
    <w:p>
      <w:pPr>
        <w:widowControl w:val="0"/>
        <w:autoSpaceDE w:val="0"/>
        <w:autoSpaceDN w:val="0"/>
        <w:spacing w:beforeLines="0" w:afterLines="0" w:line="580" w:lineRule="exact"/>
        <w:ind w:firstLine="600"/>
        <w:rPr>
          <w:rFonts w:hint="eastAsia" w:ascii="黑体" w:hAnsi="黑体" w:eastAsia="黑体" w:cs="黑体"/>
          <w:sz w:val="32"/>
          <w:szCs w:val="24"/>
        </w:rPr>
      </w:pPr>
      <w:r>
        <w:rPr>
          <w:rFonts w:hint="eastAsia" w:ascii="黑体" w:hAnsi="黑体" w:eastAsia="黑体" w:cs="黑体"/>
          <w:sz w:val="32"/>
          <w:szCs w:val="24"/>
        </w:rPr>
        <w:t>一、关于2020年度预算执行情况分析</w:t>
      </w:r>
    </w:p>
    <w:p>
      <w:pPr>
        <w:widowControl w:val="0"/>
        <w:autoSpaceDE w:val="0"/>
        <w:autoSpaceDN w:val="0"/>
        <w:spacing w:beforeLines="0" w:afterLines="0" w:line="580" w:lineRule="exact"/>
        <w:ind w:firstLine="600"/>
        <w:rPr>
          <w:rFonts w:hint="eastAsia" w:ascii="仿宋_GB2312" w:hAnsi="仿宋_GB2312" w:eastAsia="仿宋_GB2312"/>
          <w:sz w:val="32"/>
          <w:szCs w:val="24"/>
        </w:rPr>
      </w:pPr>
      <w:r>
        <w:rPr>
          <w:rFonts w:hint="eastAsia" w:ascii="仿宋_GB2312" w:hAnsi="仿宋_GB2312" w:eastAsia="仿宋_GB2312"/>
          <w:sz w:val="32"/>
          <w:szCs w:val="24"/>
        </w:rPr>
        <w:t>2020年年初预算资金为176.65万元，年终决算数517.23万元，其中：工资福利支出220.34万元，一般商品和服务支出96.62万元。原因是新增大厅装修资金、政务服务局门户网站……等资金需要。</w:t>
      </w:r>
    </w:p>
    <w:p>
      <w:pPr>
        <w:topLinePunct/>
        <w:spacing w:beforeLines="0" w:afterLines="0" w:line="600" w:lineRule="exact"/>
        <w:ind w:firstLine="643" w:firstLineChars="200"/>
        <w:rPr>
          <w:rFonts w:hint="eastAsia" w:ascii="仿宋_GB2312" w:hAnsi="仿宋" w:eastAsia="仿宋_GB2312"/>
          <w:b/>
          <w:sz w:val="32"/>
          <w:szCs w:val="24"/>
        </w:rPr>
      </w:pPr>
      <w:r>
        <w:rPr>
          <w:rFonts w:hint="eastAsia" w:ascii="仿宋_GB2312" w:hAnsi="仿宋" w:eastAsia="仿宋_GB2312"/>
          <w:b/>
          <w:sz w:val="32"/>
          <w:szCs w:val="24"/>
        </w:rPr>
        <w:t>1．收入支出与预算对比分析。</w:t>
      </w:r>
    </w:p>
    <w:p>
      <w:pPr>
        <w:topLinePunct/>
        <w:spacing w:beforeLines="0" w:afterLines="0" w:line="600" w:lineRule="exact"/>
        <w:ind w:firstLine="640" w:firstLineChars="200"/>
        <w:rPr>
          <w:rFonts w:hint="eastAsia" w:ascii="仿宋_GB2312" w:hAnsi="仿宋" w:eastAsia="仿宋_GB2312"/>
          <w:sz w:val="32"/>
          <w:szCs w:val="24"/>
        </w:rPr>
      </w:pPr>
      <w:r>
        <w:rPr>
          <w:rFonts w:hint="eastAsia" w:ascii="仿宋_GB2312" w:hAnsi="仿宋" w:eastAsia="仿宋_GB2312"/>
          <w:sz w:val="32"/>
          <w:szCs w:val="24"/>
        </w:rPr>
        <w:t>本年度财政拨款收入为517.23万元，支出为517.23万元。</w:t>
      </w:r>
    </w:p>
    <w:p>
      <w:pPr>
        <w:topLinePunct/>
        <w:spacing w:beforeLines="0" w:afterLines="0" w:line="600" w:lineRule="exact"/>
        <w:ind w:firstLine="643" w:firstLineChars="200"/>
        <w:rPr>
          <w:rFonts w:hint="eastAsia" w:ascii="仿宋_GB2312" w:hAnsi="仿宋" w:eastAsia="仿宋_GB2312"/>
          <w:b/>
          <w:sz w:val="32"/>
          <w:szCs w:val="24"/>
        </w:rPr>
      </w:pPr>
      <w:r>
        <w:rPr>
          <w:rFonts w:hint="eastAsia" w:ascii="仿宋_GB2312" w:hAnsi="仿宋" w:eastAsia="仿宋_GB2312"/>
          <w:b/>
          <w:sz w:val="32"/>
          <w:szCs w:val="24"/>
        </w:rPr>
        <w:t>2．支出按经济分类科目分析。</w:t>
      </w:r>
    </w:p>
    <w:p>
      <w:pPr>
        <w:topLinePunct/>
        <w:spacing w:beforeLines="0" w:afterLines="0" w:line="600" w:lineRule="exact"/>
        <w:ind w:firstLine="640" w:firstLineChars="200"/>
        <w:rPr>
          <w:rFonts w:hint="eastAsia" w:ascii="仿宋_GB2312" w:hAnsi="仿宋" w:eastAsia="仿宋_GB2312"/>
          <w:sz w:val="32"/>
          <w:szCs w:val="24"/>
        </w:rPr>
      </w:pPr>
      <w:r>
        <w:rPr>
          <w:rFonts w:hint="eastAsia" w:ascii="仿宋_GB2312" w:hAnsi="仿宋" w:eastAsia="仿宋_GB2312"/>
          <w:sz w:val="32"/>
          <w:szCs w:val="24"/>
        </w:rPr>
        <w:t>公务用车运行维护费1.73万元，上年1.43万元，增加20.98%。主要原因是政务服务大厅搬至新址，业务量增加，新增业务用车。</w:t>
      </w:r>
    </w:p>
    <w:p>
      <w:pPr>
        <w:widowControl w:val="0"/>
        <w:autoSpaceDE w:val="0"/>
        <w:autoSpaceDN w:val="0"/>
        <w:spacing w:beforeLines="0" w:afterLines="0" w:line="580" w:lineRule="exact"/>
        <w:ind w:firstLine="600"/>
        <w:rPr>
          <w:rFonts w:hint="default" w:eastAsia="Times New Roman"/>
          <w:sz w:val="32"/>
          <w:szCs w:val="24"/>
        </w:rPr>
      </w:pPr>
      <w:r>
        <w:rPr>
          <w:rFonts w:hint="eastAsia" w:ascii="黑体" w:hAnsi="黑体" w:eastAsia="黑体" w:cs="黑体"/>
          <w:sz w:val="32"/>
          <w:szCs w:val="24"/>
        </w:rPr>
        <w:t>二、关于2020年度决算情况说明</w:t>
      </w:r>
    </w:p>
    <w:p>
      <w:pPr>
        <w:widowControl w:val="0"/>
        <w:autoSpaceDE w:val="0"/>
        <w:autoSpaceDN w:val="0"/>
        <w:spacing w:beforeLines="0" w:afterLines="0" w:line="580" w:lineRule="exact"/>
        <w:ind w:firstLine="600"/>
        <w:rPr>
          <w:rFonts w:hint="eastAsia" w:ascii="仿宋_GB2312" w:hAnsi="仿宋_GB2312" w:eastAsia="仿宋_GB2312" w:cs="Times New Roman"/>
          <w:b/>
          <w:sz w:val="32"/>
          <w:szCs w:val="24"/>
        </w:rPr>
      </w:pPr>
      <w:r>
        <w:rPr>
          <w:rFonts w:hint="eastAsia" w:ascii="仿宋_GB2312" w:hAnsi="仿宋_GB2312" w:eastAsia="仿宋_GB2312" w:cs="Times New Roman"/>
          <w:b/>
          <w:sz w:val="32"/>
          <w:szCs w:val="24"/>
        </w:rPr>
        <w:t>（一）关于收支情况总体说明</w:t>
      </w:r>
    </w:p>
    <w:p>
      <w:pPr>
        <w:widowControl w:val="0"/>
        <w:autoSpaceDE w:val="0"/>
        <w:autoSpaceDN w:val="0"/>
        <w:spacing w:beforeLines="0" w:afterLines="0" w:line="580" w:lineRule="exact"/>
        <w:ind w:firstLine="600"/>
        <w:rPr>
          <w:rFonts w:hint="eastAsia" w:ascii="仿宋_GB2312" w:hAnsi="仿宋_GB2312" w:eastAsia="仿宋_GB2312"/>
          <w:sz w:val="32"/>
          <w:szCs w:val="24"/>
        </w:rPr>
      </w:pPr>
      <w:r>
        <w:rPr>
          <w:rFonts w:hint="eastAsia" w:ascii="仿宋_GB2312" w:hAnsi="仿宋_GB2312" w:eastAsia="仿宋_GB2312"/>
          <w:sz w:val="32"/>
          <w:szCs w:val="24"/>
        </w:rPr>
        <w:t>本部门2020年度收入总计517.23万元，其中：本年收入合计517.23万元，用事业基金弥补收支差额0万元，年初结转和结余0万元；支出总计517.23万元，其中：结余分配0万元，年末结转和结余0万元。与2019年度相比，收入总计增加304.77万元，增长143.45%；支出总计增加304.77万元，增长143.45%。主要原因：一是2020年本级单位搬入新址；二是有人员增加。</w:t>
      </w:r>
    </w:p>
    <w:p>
      <w:pPr>
        <w:widowControl w:val="0"/>
        <w:autoSpaceDE w:val="0"/>
        <w:autoSpaceDN w:val="0"/>
        <w:spacing w:beforeLines="0" w:afterLines="0" w:line="580" w:lineRule="exact"/>
        <w:ind w:firstLine="600"/>
        <w:rPr>
          <w:rFonts w:hint="eastAsia" w:ascii="仿宋_GB2312" w:hAnsi="仿宋_GB2312" w:eastAsia="仿宋_GB2312" w:cs="Times New Roman"/>
          <w:b/>
          <w:sz w:val="32"/>
          <w:szCs w:val="24"/>
        </w:rPr>
      </w:pPr>
      <w:r>
        <w:rPr>
          <w:rFonts w:hint="eastAsia" w:ascii="仿宋_GB2312" w:hAnsi="仿宋_GB2312" w:eastAsia="仿宋_GB2312" w:cs="Times New Roman"/>
          <w:b/>
          <w:sz w:val="32"/>
          <w:szCs w:val="24"/>
        </w:rPr>
        <w:t>（二）关于2020年度收入决算情况说明</w:t>
      </w:r>
    </w:p>
    <w:p>
      <w:pPr>
        <w:widowControl w:val="0"/>
        <w:autoSpaceDE w:val="0"/>
        <w:autoSpaceDN w:val="0"/>
        <w:spacing w:beforeLines="0" w:afterLines="0" w:line="580" w:lineRule="exact"/>
        <w:ind w:firstLine="600"/>
        <w:rPr>
          <w:rFonts w:hint="default" w:eastAsia="Times New Roman"/>
          <w:sz w:val="32"/>
          <w:szCs w:val="24"/>
        </w:rPr>
      </w:pPr>
      <w:r>
        <w:rPr>
          <w:rFonts w:hint="eastAsia" w:ascii="仿宋_GB2312" w:hAnsi="仿宋_GB2312" w:eastAsia="仿宋_GB2312"/>
          <w:sz w:val="32"/>
          <w:szCs w:val="24"/>
        </w:rPr>
        <w:t>本部门2020年度收入合计517.23万元，其中：财政拨款收入517.23万元，占100%。</w:t>
      </w:r>
    </w:p>
    <w:p>
      <w:pPr>
        <w:widowControl w:val="0"/>
        <w:autoSpaceDE w:val="0"/>
        <w:autoSpaceDN w:val="0"/>
        <w:spacing w:beforeLines="0" w:afterLines="0" w:line="580" w:lineRule="exact"/>
        <w:ind w:firstLine="600"/>
        <w:rPr>
          <w:rFonts w:hint="eastAsia" w:ascii="仿宋_GB2312" w:hAnsi="仿宋_GB2312" w:eastAsia="仿宋_GB2312" w:cs="Times New Roman"/>
          <w:b/>
          <w:sz w:val="32"/>
          <w:szCs w:val="24"/>
        </w:rPr>
      </w:pPr>
      <w:r>
        <w:rPr>
          <w:rFonts w:hint="eastAsia" w:ascii="仿宋_GB2312" w:hAnsi="仿宋_GB2312" w:eastAsia="仿宋_GB2312" w:cs="Times New Roman"/>
          <w:b/>
          <w:sz w:val="32"/>
          <w:szCs w:val="24"/>
        </w:rPr>
        <w:t>（三）关于2020年度支出决算情况说明</w:t>
      </w:r>
    </w:p>
    <w:p>
      <w:pPr>
        <w:widowControl w:val="0"/>
        <w:autoSpaceDE w:val="0"/>
        <w:autoSpaceDN w:val="0"/>
        <w:spacing w:beforeLines="0" w:afterLines="0" w:line="580" w:lineRule="exact"/>
        <w:ind w:firstLine="600"/>
        <w:rPr>
          <w:rFonts w:hint="default" w:eastAsia="Times New Roman"/>
          <w:sz w:val="32"/>
          <w:szCs w:val="24"/>
        </w:rPr>
      </w:pPr>
      <w:r>
        <w:rPr>
          <w:rFonts w:hint="eastAsia" w:ascii="仿宋_GB2312" w:hAnsi="仿宋_GB2312" w:eastAsia="仿宋_GB2312"/>
          <w:sz w:val="32"/>
          <w:szCs w:val="24"/>
        </w:rPr>
        <w:t>本部门2020年度支出合计517.23万元，其中：基本支出319.06万元，占61.7%；项目支出198.17万元，占38.3%。</w:t>
      </w:r>
    </w:p>
    <w:p>
      <w:pPr>
        <w:widowControl w:val="0"/>
        <w:autoSpaceDE w:val="0"/>
        <w:autoSpaceDN w:val="0"/>
        <w:spacing w:beforeLines="0" w:afterLines="0" w:line="580" w:lineRule="exact"/>
        <w:ind w:firstLine="600"/>
        <w:rPr>
          <w:rFonts w:hint="default" w:eastAsia="Times New Roman"/>
          <w:sz w:val="32"/>
          <w:szCs w:val="24"/>
        </w:rPr>
      </w:pPr>
      <w:r>
        <w:rPr>
          <w:rFonts w:hint="eastAsia" w:ascii="仿宋_GB2312" w:hAnsi="仿宋_GB2312" w:eastAsia="仿宋_GB2312" w:cs="Times New Roman"/>
          <w:b/>
          <w:sz w:val="32"/>
          <w:szCs w:val="24"/>
        </w:rPr>
        <w:t>（四）关于2020年度财政拨款收入支出决算总体情况说明</w:t>
      </w:r>
    </w:p>
    <w:p>
      <w:pPr>
        <w:widowControl w:val="0"/>
        <w:autoSpaceDE w:val="0"/>
        <w:autoSpaceDN w:val="0"/>
        <w:spacing w:beforeLines="0" w:afterLines="0" w:line="580" w:lineRule="exact"/>
        <w:ind w:firstLine="600"/>
        <w:rPr>
          <w:rFonts w:hint="default" w:eastAsia="Times New Roman"/>
          <w:sz w:val="32"/>
          <w:szCs w:val="24"/>
        </w:rPr>
      </w:pPr>
      <w:r>
        <w:rPr>
          <w:rFonts w:hint="eastAsia" w:ascii="仿宋_GB2312" w:hAnsi="仿宋_GB2312" w:eastAsia="仿宋_GB2312"/>
          <w:sz w:val="32"/>
          <w:szCs w:val="24"/>
        </w:rPr>
        <w:t>本部门2020年度财政拨款收入总计517.23万元，其中：年初结转和结余0万元；支出总计517.23万元，其中：年末结转和结余0万元。与2019年度相比，收入增加304.77万元，增长143.45%；支出增加304.77万元，增长143.45%。主要原因：一是2020年本级单位搬入新址；二是有人员增加。</w:t>
      </w:r>
    </w:p>
    <w:p>
      <w:pPr>
        <w:widowControl w:val="0"/>
        <w:autoSpaceDE w:val="0"/>
        <w:autoSpaceDN w:val="0"/>
        <w:spacing w:beforeLines="0" w:afterLines="0" w:line="580" w:lineRule="exact"/>
        <w:ind w:firstLine="600"/>
        <w:rPr>
          <w:rFonts w:hint="eastAsia" w:ascii="仿宋_GB2312" w:hAnsi="仿宋_GB2312" w:eastAsia="仿宋_GB2312" w:cs="Times New Roman"/>
          <w:b/>
          <w:sz w:val="32"/>
          <w:szCs w:val="24"/>
        </w:rPr>
      </w:pPr>
      <w:r>
        <w:rPr>
          <w:rFonts w:hint="eastAsia" w:ascii="仿宋_GB2312" w:hAnsi="仿宋_GB2312" w:eastAsia="仿宋_GB2312" w:cs="Times New Roman"/>
          <w:b/>
          <w:sz w:val="32"/>
          <w:szCs w:val="24"/>
        </w:rPr>
        <w:t>（五）关于2020年度一般公共预算财政拨款支出决算情况说明</w:t>
      </w:r>
    </w:p>
    <w:p>
      <w:pPr>
        <w:widowControl w:val="0"/>
        <w:autoSpaceDE w:val="0"/>
        <w:autoSpaceDN w:val="0"/>
        <w:spacing w:beforeLines="0" w:afterLines="0" w:line="580" w:lineRule="exact"/>
        <w:ind w:firstLine="600"/>
        <w:rPr>
          <w:rFonts w:hint="eastAsia" w:ascii="仿宋_GB2312" w:hAnsi="仿宋_GB2312" w:eastAsia="仿宋_GB2312"/>
          <w:sz w:val="32"/>
          <w:szCs w:val="24"/>
        </w:rPr>
      </w:pPr>
      <w:r>
        <w:rPr>
          <w:rFonts w:hint="eastAsia" w:ascii="仿宋_GB2312" w:hAnsi="仿宋_GB2312" w:eastAsia="仿宋_GB2312"/>
          <w:sz w:val="32"/>
          <w:szCs w:val="24"/>
        </w:rPr>
        <w:t>本部门2020年度一般公共预算财政拨款支出合计517.23万元，其中：基本支出319.06万元，占61.7%；项目支出198.17万元，占38.3%。主要原因：政府办公厅（室）及相关机构事务。</w:t>
      </w:r>
    </w:p>
    <w:p>
      <w:pPr>
        <w:widowControl w:val="0"/>
        <w:autoSpaceDE w:val="0"/>
        <w:autoSpaceDN w:val="0"/>
        <w:spacing w:beforeLines="0" w:afterLines="0" w:line="580" w:lineRule="exact"/>
        <w:ind w:firstLine="600"/>
        <w:rPr>
          <w:rFonts w:hint="default" w:eastAsia="Times New Roman"/>
          <w:sz w:val="32"/>
          <w:szCs w:val="24"/>
        </w:rPr>
      </w:pPr>
      <w:r>
        <w:rPr>
          <w:rFonts w:hint="eastAsia" w:ascii="仿宋_GB2312" w:hAnsi="仿宋_GB2312" w:eastAsia="仿宋_GB2312"/>
          <w:sz w:val="32"/>
          <w:szCs w:val="24"/>
        </w:rPr>
        <w:t>本部门2020年度一般公共预算财政拨款支出合计517.23万元，其中：基本支出319.06万元，占61.7%；项目支出198.17万元，占38.3%。主要原因：一是2020年本级单位搬入新址；二是有人员增加。</w:t>
      </w:r>
    </w:p>
    <w:p>
      <w:pPr>
        <w:widowControl w:val="0"/>
        <w:autoSpaceDE w:val="0"/>
        <w:autoSpaceDN w:val="0"/>
        <w:spacing w:beforeLines="0" w:afterLines="0" w:line="580" w:lineRule="exact"/>
        <w:ind w:firstLine="600"/>
        <w:rPr>
          <w:rFonts w:hint="eastAsia" w:ascii="仿宋_GB2312" w:hAnsi="仿宋_GB2312" w:eastAsia="仿宋_GB2312" w:cs="Times New Roman"/>
          <w:b/>
          <w:sz w:val="32"/>
          <w:szCs w:val="24"/>
        </w:rPr>
      </w:pPr>
      <w:r>
        <w:rPr>
          <w:rFonts w:hint="eastAsia" w:ascii="仿宋_GB2312" w:hAnsi="仿宋_GB2312" w:eastAsia="仿宋_GB2312" w:cs="Times New Roman"/>
          <w:b/>
          <w:sz w:val="32"/>
          <w:szCs w:val="24"/>
        </w:rPr>
        <w:t>（六）关于2020年度一般公共预算财政拨款基本支出决算情况说明</w:t>
      </w:r>
    </w:p>
    <w:p>
      <w:pPr>
        <w:widowControl w:val="0"/>
        <w:autoSpaceDE w:val="0"/>
        <w:autoSpaceDN w:val="0"/>
        <w:spacing w:beforeLines="0" w:afterLines="0" w:line="580" w:lineRule="exact"/>
        <w:ind w:firstLine="600"/>
        <w:rPr>
          <w:rFonts w:hint="eastAsia" w:ascii="仿宋_GB2312" w:hAnsi="仿宋_GB2312" w:eastAsia="仿宋_GB2312"/>
          <w:sz w:val="32"/>
          <w:szCs w:val="24"/>
        </w:rPr>
      </w:pPr>
      <w:r>
        <w:rPr>
          <w:rFonts w:hint="eastAsia" w:ascii="仿宋_GB2312" w:hAnsi="仿宋_GB2312" w:eastAsia="仿宋_GB2312"/>
          <w:sz w:val="32"/>
          <w:szCs w:val="24"/>
        </w:rPr>
        <w:t>本部门2020年度一般公共预算财政拨款基本支出319.06万元，其中：人员经费220.34万元，主要包括：基本工资76.71万元、津贴补贴33.74万元、绩效工资69.58万元，社会保障缴费24.46万元，其他工资福利支出15.84。较上年增加53.97万元，增长32.44%，主要原因是：一是2020年本级单位搬入新址；二是有人员增加；公用经费98.73万元，主要包括办公费57.37万元、水费0.89万元、电费3.09万元、邮电费0.96万元、物业管理费2.70万元、差旅费1.63万元、维修（护）费3.10万元、租赁费12.00万元、劳务费12.56万元、公务用车运行维护费1.73万元、其他交通费用0.59万元，办公设备购置款2.11万元，较上年减少52.63万元，增加了114.16%，</w:t>
      </w:r>
      <w:r>
        <w:rPr>
          <w:rFonts w:hint="eastAsia" w:ascii="仿宋_GB2312" w:hAnsi="仿宋_GB2312" w:eastAsia="仿宋_GB2312"/>
          <w:color w:val="auto"/>
          <w:sz w:val="32"/>
          <w:szCs w:val="24"/>
        </w:rPr>
        <w:t>主要原因是：搬入新址，新增物业管理费、购置办公设备等</w:t>
      </w:r>
      <w:r>
        <w:rPr>
          <w:rFonts w:hint="eastAsia" w:ascii="仿宋_GB2312" w:hAnsi="仿宋_GB2312" w:eastAsia="仿宋_GB2312"/>
          <w:sz w:val="32"/>
          <w:szCs w:val="24"/>
        </w:rPr>
        <w:t>。</w:t>
      </w:r>
    </w:p>
    <w:p>
      <w:pPr>
        <w:widowControl w:val="0"/>
        <w:autoSpaceDE w:val="0"/>
        <w:autoSpaceDN w:val="0"/>
        <w:spacing w:beforeLines="0" w:afterLines="0" w:line="580" w:lineRule="exact"/>
        <w:ind w:firstLine="600"/>
        <w:rPr>
          <w:rFonts w:hint="eastAsia" w:ascii="仿宋_GB2312" w:hAnsi="仿宋_GB2312" w:eastAsia="仿宋_GB2312" w:cs="Times New Roman"/>
          <w:b/>
          <w:sz w:val="32"/>
          <w:szCs w:val="24"/>
        </w:rPr>
      </w:pPr>
      <w:r>
        <w:rPr>
          <w:rFonts w:hint="eastAsia" w:ascii="仿宋_GB2312" w:hAnsi="仿宋_GB2312" w:eastAsia="仿宋_GB2312" w:cs="Times New Roman"/>
          <w:b/>
          <w:sz w:val="32"/>
          <w:szCs w:val="24"/>
        </w:rPr>
        <w:t>（七）关于2020年度财政拨款“三公”经费支出决算情况说明</w:t>
      </w:r>
    </w:p>
    <w:p>
      <w:pPr>
        <w:widowControl w:val="0"/>
        <w:autoSpaceDE w:val="0"/>
        <w:autoSpaceDN w:val="0"/>
        <w:spacing w:beforeLines="0" w:afterLines="0" w:line="580" w:lineRule="exact"/>
        <w:ind w:firstLine="600"/>
        <w:rPr>
          <w:rFonts w:hint="default" w:eastAsia="Times New Roman"/>
          <w:sz w:val="32"/>
          <w:szCs w:val="24"/>
        </w:rPr>
      </w:pPr>
      <w:r>
        <w:rPr>
          <w:rFonts w:hint="eastAsia" w:ascii="仿宋_GB2312" w:hAnsi="仿宋_GB2312" w:eastAsia="仿宋_GB2312"/>
          <w:sz w:val="32"/>
          <w:szCs w:val="24"/>
        </w:rPr>
        <w:t>1、财政拨款</w:t>
      </w:r>
      <w:r>
        <w:rPr>
          <w:rFonts w:hint="default" w:eastAsia="Times New Roman"/>
          <w:sz w:val="32"/>
          <w:szCs w:val="24"/>
        </w:rPr>
        <w:t>“</w:t>
      </w:r>
      <w:r>
        <w:rPr>
          <w:rFonts w:hint="eastAsia" w:ascii="仿宋_GB2312" w:hAnsi="仿宋_GB2312" w:eastAsia="仿宋_GB2312"/>
          <w:sz w:val="32"/>
          <w:szCs w:val="24"/>
        </w:rPr>
        <w:t>三公</w:t>
      </w:r>
      <w:r>
        <w:rPr>
          <w:rFonts w:hint="default" w:eastAsia="Times New Roman"/>
          <w:sz w:val="32"/>
          <w:szCs w:val="24"/>
        </w:rPr>
        <w:t>”</w:t>
      </w:r>
      <w:r>
        <w:rPr>
          <w:rFonts w:hint="eastAsia" w:ascii="仿宋_GB2312" w:hAnsi="仿宋_GB2312" w:eastAsia="仿宋_GB2312"/>
          <w:sz w:val="32"/>
          <w:szCs w:val="24"/>
        </w:rPr>
        <w:t>经费支出决算总体情况说明</w:t>
      </w:r>
    </w:p>
    <w:p>
      <w:pPr>
        <w:spacing w:beforeLines="0" w:afterLines="0" w:line="600" w:lineRule="exact"/>
        <w:ind w:firstLine="640" w:firstLineChars="200"/>
        <w:rPr>
          <w:rFonts w:hint="default" w:eastAsia="Times New Roman"/>
          <w:sz w:val="32"/>
          <w:szCs w:val="24"/>
        </w:rPr>
      </w:pPr>
      <w:r>
        <w:rPr>
          <w:rFonts w:hint="eastAsia" w:ascii="仿宋_GB2312" w:hAnsi="仿宋_GB2312" w:eastAsia="仿宋_GB2312"/>
          <w:sz w:val="32"/>
          <w:szCs w:val="24"/>
        </w:rPr>
        <w:t>本部门2020年度财政拨款</w:t>
      </w:r>
      <w:r>
        <w:rPr>
          <w:rFonts w:hint="default" w:eastAsia="Times New Roman"/>
          <w:sz w:val="32"/>
          <w:szCs w:val="24"/>
        </w:rPr>
        <w:t>“</w:t>
      </w:r>
      <w:r>
        <w:rPr>
          <w:rFonts w:hint="eastAsia" w:ascii="仿宋_GB2312" w:hAnsi="仿宋_GB2312" w:eastAsia="仿宋_GB2312"/>
          <w:sz w:val="32"/>
          <w:szCs w:val="24"/>
        </w:rPr>
        <w:t>三公</w:t>
      </w:r>
      <w:r>
        <w:rPr>
          <w:rFonts w:hint="default" w:eastAsia="Times New Roman"/>
          <w:sz w:val="32"/>
          <w:szCs w:val="24"/>
        </w:rPr>
        <w:t>”</w:t>
      </w:r>
      <w:r>
        <w:rPr>
          <w:rFonts w:hint="eastAsia" w:ascii="仿宋_GB2312" w:hAnsi="仿宋_GB2312" w:eastAsia="仿宋_GB2312"/>
          <w:sz w:val="32"/>
          <w:szCs w:val="24"/>
        </w:rPr>
        <w:t>经费预算为1.5万元，支出决算为1.73万元，完成预算的115.33%，其中：因公出国（境）费预算为0万元，支出决算为0万元，完成预算的0%；公务用车购置及运行维护费预算为1.5万元，支出决算为1.73万元，完成预算的115.33%；公务接待费预算为0万元，支出决算为0万元，完成预算的0%。2020年度财政拨款</w:t>
      </w:r>
      <w:r>
        <w:rPr>
          <w:rFonts w:hint="default" w:eastAsia="Times New Roman"/>
          <w:sz w:val="32"/>
          <w:szCs w:val="24"/>
        </w:rPr>
        <w:t>“</w:t>
      </w:r>
      <w:r>
        <w:rPr>
          <w:rFonts w:hint="eastAsia" w:ascii="仿宋_GB2312" w:hAnsi="仿宋_GB2312" w:eastAsia="仿宋_GB2312"/>
          <w:sz w:val="32"/>
          <w:szCs w:val="24"/>
        </w:rPr>
        <w:t>三公</w:t>
      </w:r>
      <w:r>
        <w:rPr>
          <w:rFonts w:hint="default" w:eastAsia="Times New Roman"/>
          <w:sz w:val="32"/>
          <w:szCs w:val="24"/>
        </w:rPr>
        <w:t>”</w:t>
      </w:r>
      <w:r>
        <w:rPr>
          <w:rFonts w:hint="eastAsia" w:ascii="仿宋_GB2312" w:hAnsi="仿宋_GB2312" w:eastAsia="仿宋_GB2312"/>
          <w:sz w:val="32"/>
          <w:szCs w:val="24"/>
        </w:rPr>
        <w:t>经费支出决算与预算差异情况的原因：</w:t>
      </w:r>
      <w:r>
        <w:rPr>
          <w:rFonts w:hint="eastAsia" w:ascii="仿宋_GB2312" w:hAnsi="仿宋" w:eastAsia="仿宋_GB2312"/>
          <w:sz w:val="32"/>
          <w:szCs w:val="24"/>
        </w:rPr>
        <w:t>主要原因是政务服务大厅搬至新址，业务量增加，新增业务用车</w:t>
      </w:r>
      <w:r>
        <w:rPr>
          <w:rFonts w:hint="eastAsia" w:ascii="仿宋_GB2312" w:hAnsi="仿宋_GB2312" w:eastAsia="仿宋_GB2312"/>
          <w:sz w:val="32"/>
          <w:szCs w:val="24"/>
        </w:rPr>
        <w:t>。</w:t>
      </w:r>
    </w:p>
    <w:p>
      <w:pPr>
        <w:spacing w:beforeLines="0" w:afterLines="0" w:line="600" w:lineRule="exact"/>
        <w:ind w:firstLine="640" w:firstLineChars="200"/>
        <w:rPr>
          <w:rFonts w:hint="default" w:eastAsia="Times New Roman"/>
          <w:sz w:val="32"/>
          <w:szCs w:val="24"/>
        </w:rPr>
      </w:pPr>
      <w:r>
        <w:rPr>
          <w:rFonts w:hint="eastAsia" w:ascii="仿宋_GB2312" w:hAnsi="仿宋_GB2312" w:eastAsia="仿宋_GB2312"/>
          <w:sz w:val="32"/>
          <w:szCs w:val="24"/>
        </w:rPr>
        <w:t>本部门2020年度财政拨款</w:t>
      </w:r>
      <w:r>
        <w:rPr>
          <w:rFonts w:hint="default" w:eastAsia="Times New Roman"/>
          <w:sz w:val="32"/>
          <w:szCs w:val="24"/>
        </w:rPr>
        <w:t>“</w:t>
      </w:r>
      <w:r>
        <w:rPr>
          <w:rFonts w:hint="eastAsia" w:ascii="仿宋_GB2312" w:hAnsi="仿宋_GB2312" w:eastAsia="仿宋_GB2312"/>
          <w:sz w:val="32"/>
          <w:szCs w:val="24"/>
        </w:rPr>
        <w:t>三公</w:t>
      </w:r>
      <w:r>
        <w:rPr>
          <w:rFonts w:hint="default" w:eastAsia="Times New Roman"/>
          <w:sz w:val="32"/>
          <w:szCs w:val="24"/>
        </w:rPr>
        <w:t>”</w:t>
      </w:r>
      <w:r>
        <w:rPr>
          <w:rFonts w:hint="eastAsia" w:ascii="仿宋_GB2312" w:hAnsi="仿宋_GB2312" w:eastAsia="仿宋_GB2312"/>
          <w:sz w:val="32"/>
          <w:szCs w:val="24"/>
        </w:rPr>
        <w:t>经费支出1.73万元，因公出国（境）费支出0万元，占0%；公务用车购置及运行维护费支出1.73万元，占100%；公务接待费支出0万元，占0%。具体情况如下：</w:t>
      </w:r>
    </w:p>
    <w:p>
      <w:pPr>
        <w:spacing w:beforeLines="0" w:afterLines="0" w:line="600" w:lineRule="exact"/>
        <w:ind w:firstLine="643" w:firstLineChars="200"/>
        <w:rPr>
          <w:rFonts w:hint="default" w:eastAsia="Times New Roman"/>
          <w:sz w:val="32"/>
          <w:szCs w:val="24"/>
        </w:rPr>
      </w:pPr>
      <w:r>
        <w:rPr>
          <w:rFonts w:hint="eastAsia" w:ascii="仿宋_GB2312" w:hAnsi="仿宋_GB2312" w:eastAsia="仿宋_GB2312"/>
          <w:b/>
          <w:sz w:val="32"/>
          <w:szCs w:val="24"/>
        </w:rPr>
        <w:t>因公出国（境）费支出</w:t>
      </w:r>
      <w:r>
        <w:rPr>
          <w:rFonts w:hint="eastAsia" w:ascii="仿宋_GB2312" w:hAnsi="仿宋_GB2312" w:eastAsia="仿宋_GB2312"/>
          <w:sz w:val="32"/>
          <w:szCs w:val="24"/>
        </w:rPr>
        <w:t>0万元。全年因公出国（境）团组0个，累计0人次。较上年增加0万元，主要原因本部门无此项支出。</w:t>
      </w:r>
    </w:p>
    <w:p>
      <w:pPr>
        <w:spacing w:beforeLines="0" w:afterLines="0" w:line="600" w:lineRule="exact"/>
        <w:ind w:firstLine="643" w:firstLineChars="200"/>
        <w:rPr>
          <w:rFonts w:hint="default" w:eastAsia="Times New Roman"/>
          <w:sz w:val="32"/>
          <w:szCs w:val="24"/>
        </w:rPr>
      </w:pPr>
      <w:r>
        <w:rPr>
          <w:rFonts w:hint="eastAsia" w:ascii="仿宋_GB2312" w:hAnsi="仿宋_GB2312" w:eastAsia="仿宋_GB2312"/>
          <w:b/>
          <w:sz w:val="32"/>
          <w:szCs w:val="24"/>
        </w:rPr>
        <w:t>公务用车购置及运行维护费支出</w:t>
      </w:r>
      <w:r>
        <w:rPr>
          <w:rFonts w:hint="eastAsia" w:ascii="仿宋_GB2312" w:hAnsi="仿宋_GB2312" w:eastAsia="仿宋_GB2312"/>
          <w:sz w:val="32"/>
          <w:szCs w:val="24"/>
        </w:rPr>
        <w:t>1.73万元。其中：公务用车购置支出0万元，车均购置费0万元，较上年增加0万元，主要原因是本部门无此项支出。公务用车运行维护费支出1.73万元，用于公车燃油、保险等支出，车均运维费1.73万元，较上年增加0.3万元，增加20.98%，主要原因是</w:t>
      </w:r>
      <w:r>
        <w:rPr>
          <w:rFonts w:hint="eastAsia" w:ascii="仿宋_GB2312" w:hAnsi="仿宋" w:eastAsia="仿宋_GB2312"/>
          <w:sz w:val="32"/>
          <w:szCs w:val="24"/>
        </w:rPr>
        <w:t>主要原因是政务服务大厅搬至新址，业务量增加，新增业务用车</w:t>
      </w:r>
      <w:r>
        <w:rPr>
          <w:rFonts w:hint="eastAsia" w:ascii="仿宋_GB2312" w:hAnsi="仿宋_GB2312" w:eastAsia="仿宋_GB2312"/>
          <w:sz w:val="32"/>
          <w:szCs w:val="24"/>
        </w:rPr>
        <w:t>。</w:t>
      </w:r>
    </w:p>
    <w:p>
      <w:pPr>
        <w:spacing w:beforeLines="0" w:afterLines="0" w:line="600" w:lineRule="exact"/>
        <w:ind w:firstLine="643" w:firstLineChars="200"/>
        <w:rPr>
          <w:rFonts w:hint="eastAsia" w:ascii="仿宋_GB2312" w:hAnsi="仿宋_GB2312" w:eastAsia="仿宋_GB2312"/>
          <w:sz w:val="32"/>
          <w:szCs w:val="24"/>
        </w:rPr>
      </w:pPr>
      <w:r>
        <w:rPr>
          <w:rFonts w:hint="eastAsia" w:ascii="仿宋_GB2312" w:hAnsi="仿宋_GB2312" w:eastAsia="仿宋_GB2312"/>
          <w:b/>
          <w:sz w:val="32"/>
          <w:szCs w:val="24"/>
        </w:rPr>
        <w:t>公务接待费支出</w:t>
      </w:r>
      <w:r>
        <w:rPr>
          <w:rFonts w:hint="eastAsia" w:ascii="仿宋_GB2312" w:hAnsi="仿宋_GB2312" w:eastAsia="仿宋_GB2312"/>
          <w:sz w:val="32"/>
          <w:szCs w:val="24"/>
        </w:rPr>
        <w:t>0万元。原因:此项支出与上年比较为零。</w:t>
      </w:r>
    </w:p>
    <w:p>
      <w:pPr>
        <w:widowControl w:val="0"/>
        <w:autoSpaceDE w:val="0"/>
        <w:autoSpaceDN w:val="0"/>
        <w:spacing w:beforeLines="0" w:afterLines="0" w:line="580" w:lineRule="exact"/>
        <w:ind w:firstLine="600"/>
        <w:rPr>
          <w:rFonts w:hint="default" w:eastAsia="Times New Roman"/>
          <w:sz w:val="32"/>
          <w:szCs w:val="24"/>
        </w:rPr>
      </w:pPr>
      <w:r>
        <w:rPr>
          <w:rFonts w:hint="eastAsia" w:ascii="仿宋_GB2312" w:hAnsi="仿宋_GB2312" w:eastAsia="仿宋_GB2312"/>
          <w:sz w:val="32"/>
          <w:szCs w:val="24"/>
        </w:rPr>
        <w:t>三、预算绩效情况说明</w:t>
      </w:r>
    </w:p>
    <w:p>
      <w:pPr>
        <w:widowControl w:val="0"/>
        <w:autoSpaceDE w:val="0"/>
        <w:autoSpaceDN w:val="0"/>
        <w:spacing w:beforeLines="0" w:afterLines="0" w:line="580" w:lineRule="exact"/>
        <w:ind w:firstLine="600"/>
        <w:rPr>
          <w:rFonts w:hint="default" w:eastAsia="Times New Roman"/>
          <w:sz w:val="32"/>
          <w:szCs w:val="24"/>
        </w:rPr>
      </w:pPr>
      <w:r>
        <w:rPr>
          <w:rFonts w:hint="eastAsia" w:ascii="仿宋_GB2312" w:hAnsi="仿宋_GB2312" w:eastAsia="仿宋_GB2312"/>
          <w:sz w:val="32"/>
          <w:szCs w:val="24"/>
        </w:rPr>
        <w:t>（一）预算绩效管理工作开展情况</w:t>
      </w:r>
    </w:p>
    <w:p>
      <w:pPr>
        <w:autoSpaceDE w:val="0"/>
        <w:autoSpaceDN w:val="0"/>
        <w:spacing w:beforeLines="0" w:afterLines="0" w:line="580" w:lineRule="exact"/>
        <w:ind w:firstLine="600"/>
        <w:rPr>
          <w:rFonts w:hint="eastAsia" w:ascii="仿宋_GB2312" w:eastAsia="仿宋_GB2312"/>
          <w:sz w:val="32"/>
          <w:szCs w:val="24"/>
        </w:rPr>
      </w:pPr>
      <w:r>
        <w:rPr>
          <w:rFonts w:hint="eastAsia" w:ascii="仿宋_GB2312" w:eastAsia="仿宋_GB2312"/>
          <w:sz w:val="32"/>
          <w:szCs w:val="24"/>
        </w:rPr>
        <w:t>根据预算绩效管理要求，我单位组织对2020年度一般公共预算项目支出全面开展绩效自评，共涉及资金198.17万元，占一般公共预算项目支出总额的100%（必须达到100%）。</w:t>
      </w:r>
    </w:p>
    <w:p>
      <w:pPr>
        <w:autoSpaceDE w:val="0"/>
        <w:autoSpaceDN w:val="0"/>
        <w:spacing w:beforeLines="0" w:afterLines="0" w:line="580" w:lineRule="exact"/>
        <w:ind w:firstLine="600"/>
        <w:rPr>
          <w:rFonts w:hint="default" w:eastAsia="仿宋_GB2312"/>
          <w:sz w:val="32"/>
          <w:szCs w:val="24"/>
        </w:rPr>
      </w:pPr>
      <w:r>
        <w:rPr>
          <w:rFonts w:hint="eastAsia" w:ascii="仿宋_GB2312" w:eastAsia="仿宋_GB2312"/>
          <w:sz w:val="32"/>
          <w:szCs w:val="24"/>
        </w:rPr>
        <w:t>（二）部门决算中项目绩效自评结果</w:t>
      </w:r>
    </w:p>
    <w:p>
      <w:pPr>
        <w:widowControl w:val="0"/>
        <w:autoSpaceDE w:val="0"/>
        <w:autoSpaceDN w:val="0"/>
        <w:spacing w:beforeLines="0" w:afterLines="0" w:line="580" w:lineRule="exact"/>
        <w:ind w:firstLine="600"/>
        <w:rPr>
          <w:rFonts w:hint="eastAsia" w:ascii="仿宋_GB2312" w:hAnsi="仿宋_GB2312" w:eastAsia="仿宋_GB2312"/>
          <w:color w:val="FF0000"/>
          <w:sz w:val="32"/>
          <w:szCs w:val="24"/>
        </w:rPr>
      </w:pPr>
      <w:r>
        <w:rPr>
          <w:rFonts w:hint="eastAsia" w:ascii="仿宋_GB2312" w:hAnsi="仿宋_GB2312" w:eastAsia="仿宋_GB2312"/>
          <w:sz w:val="32"/>
          <w:szCs w:val="24"/>
        </w:rPr>
        <w:t>我部门今年在在部门决算中反映“政务服务大厅装修款”、“办公设备购置”等2个一般公共预算项目。</w:t>
      </w:r>
    </w:p>
    <w:p>
      <w:pPr>
        <w:widowControl w:val="0"/>
        <w:autoSpaceDE w:val="0"/>
        <w:autoSpaceDN w:val="0"/>
        <w:spacing w:beforeLines="0" w:afterLines="0" w:line="580" w:lineRule="exact"/>
        <w:ind w:firstLine="600"/>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1.政务服务大厅装修项目自评综述：</w:t>
      </w:r>
    </w:p>
    <w:p>
      <w:pPr>
        <w:widowControl w:val="0"/>
        <w:autoSpaceDE w:val="0"/>
        <w:autoSpaceDN w:val="0"/>
        <w:spacing w:beforeLines="0" w:afterLines="0" w:line="580" w:lineRule="exact"/>
        <w:ind w:firstLine="600"/>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根据年初设定的绩效目标，政务服务大厅装修项目自评得分100分。全年预算数为176.00万元，执行数为176.00万元，完成预算的100%。项目绩效目标完成情况：项目绩效目标完成良好。</w:t>
      </w:r>
    </w:p>
    <w:p>
      <w:pPr>
        <w:widowControl w:val="0"/>
        <w:numPr>
          <w:ilvl w:val="0"/>
          <w:numId w:val="0"/>
        </w:numPr>
        <w:autoSpaceDE w:val="0"/>
        <w:autoSpaceDN w:val="0"/>
        <w:spacing w:beforeLines="0" w:afterLines="0" w:line="580" w:lineRule="exact"/>
        <w:ind w:firstLine="640" w:firstLineChars="200"/>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2.办公设备购置项目自评综述：</w:t>
      </w:r>
    </w:p>
    <w:p>
      <w:pPr>
        <w:widowControl w:val="0"/>
        <w:autoSpaceDE w:val="0"/>
        <w:autoSpaceDN w:val="0"/>
        <w:spacing w:beforeLines="0" w:afterLines="0" w:line="580" w:lineRule="exact"/>
        <w:ind w:firstLine="600"/>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 xml:space="preserve"> 根据年初设定的绩效目标，办公设备购置款项目自评得分100分。全年预算数为22.17万元，执行数为22.17万元，完成预算的100%。项目绩效目标完成情况：项目绩效目标完成良好。</w:t>
      </w:r>
    </w:p>
    <w:p>
      <w:pPr>
        <w:widowControl w:val="0"/>
        <w:numPr>
          <w:ilvl w:val="0"/>
          <w:numId w:val="0"/>
        </w:numPr>
        <w:autoSpaceDE w:val="0"/>
        <w:autoSpaceDN w:val="0"/>
        <w:spacing w:beforeLines="0" w:afterLines="0" w:line="580" w:lineRule="exact"/>
        <w:rPr>
          <w:rFonts w:hint="eastAsia" w:ascii="仿宋_GB2312" w:hAnsi="仿宋_GB2312" w:eastAsia="仿宋_GB2312"/>
          <w:color w:val="auto"/>
          <w:sz w:val="32"/>
          <w:szCs w:val="24"/>
        </w:rPr>
      </w:pPr>
    </w:p>
    <w:p>
      <w:pPr>
        <w:widowControl w:val="0"/>
        <w:numPr>
          <w:ilvl w:val="0"/>
          <w:numId w:val="0"/>
        </w:numPr>
        <w:autoSpaceDE w:val="0"/>
        <w:autoSpaceDN w:val="0"/>
        <w:spacing w:beforeLines="0" w:afterLines="0" w:line="580" w:lineRule="exact"/>
        <w:rPr>
          <w:rFonts w:hint="eastAsia" w:ascii="仿宋_GB2312" w:hAnsi="仿宋_GB2312" w:eastAsia="仿宋_GB2312"/>
          <w:color w:val="auto"/>
          <w:sz w:val="32"/>
          <w:szCs w:val="24"/>
        </w:rPr>
      </w:pPr>
    </w:p>
    <w:p>
      <w:pPr>
        <w:widowControl w:val="0"/>
        <w:numPr>
          <w:ilvl w:val="0"/>
          <w:numId w:val="0"/>
        </w:numPr>
        <w:autoSpaceDE w:val="0"/>
        <w:autoSpaceDN w:val="0"/>
        <w:spacing w:beforeLines="0" w:afterLines="0" w:line="580" w:lineRule="exact"/>
        <w:rPr>
          <w:rFonts w:hint="eastAsia" w:ascii="仿宋_GB2312" w:hAnsi="仿宋_GB2312" w:eastAsia="仿宋_GB2312"/>
          <w:color w:val="auto"/>
          <w:sz w:val="32"/>
          <w:szCs w:val="24"/>
        </w:rPr>
      </w:pPr>
    </w:p>
    <w:p>
      <w:pPr>
        <w:widowControl w:val="0"/>
        <w:numPr>
          <w:ilvl w:val="0"/>
          <w:numId w:val="0"/>
        </w:numPr>
        <w:autoSpaceDE w:val="0"/>
        <w:autoSpaceDN w:val="0"/>
        <w:spacing w:beforeLines="0" w:afterLines="0" w:line="580" w:lineRule="exact"/>
        <w:rPr>
          <w:rFonts w:hint="eastAsia" w:ascii="仿宋_GB2312" w:hAnsi="仿宋_GB2312" w:eastAsia="仿宋_GB2312"/>
          <w:color w:val="auto"/>
          <w:sz w:val="32"/>
          <w:szCs w:val="24"/>
        </w:rPr>
      </w:pPr>
    </w:p>
    <w:p>
      <w:pPr>
        <w:widowControl w:val="0"/>
        <w:numPr>
          <w:ilvl w:val="0"/>
          <w:numId w:val="0"/>
        </w:numPr>
        <w:autoSpaceDE w:val="0"/>
        <w:autoSpaceDN w:val="0"/>
        <w:spacing w:beforeLines="0" w:afterLines="0" w:line="580" w:lineRule="exact"/>
        <w:rPr>
          <w:rFonts w:hint="eastAsia" w:ascii="仿宋_GB2312" w:hAnsi="仿宋_GB2312" w:eastAsia="仿宋_GB2312"/>
          <w:color w:val="auto"/>
          <w:sz w:val="32"/>
          <w:szCs w:val="24"/>
        </w:rPr>
      </w:pPr>
    </w:p>
    <w:p>
      <w:pPr>
        <w:widowControl w:val="0"/>
        <w:numPr>
          <w:ilvl w:val="0"/>
          <w:numId w:val="0"/>
        </w:numPr>
        <w:autoSpaceDE w:val="0"/>
        <w:autoSpaceDN w:val="0"/>
        <w:spacing w:beforeLines="0" w:afterLines="0" w:line="580" w:lineRule="exact"/>
        <w:rPr>
          <w:rFonts w:hint="eastAsia" w:ascii="仿宋_GB2312" w:hAnsi="仿宋_GB2312" w:eastAsia="仿宋_GB2312"/>
          <w:color w:val="auto"/>
          <w:sz w:val="32"/>
          <w:szCs w:val="24"/>
        </w:rPr>
      </w:pPr>
    </w:p>
    <w:p>
      <w:pPr>
        <w:widowControl w:val="0"/>
        <w:numPr>
          <w:ilvl w:val="0"/>
          <w:numId w:val="0"/>
        </w:numPr>
        <w:autoSpaceDE w:val="0"/>
        <w:autoSpaceDN w:val="0"/>
        <w:spacing w:beforeLines="0" w:afterLines="0" w:line="580" w:lineRule="exact"/>
        <w:rPr>
          <w:rFonts w:hint="eastAsia" w:ascii="仿宋_GB2312" w:hAnsi="仿宋_GB2312" w:eastAsia="仿宋_GB2312"/>
          <w:color w:val="auto"/>
          <w:sz w:val="32"/>
          <w:szCs w:val="24"/>
        </w:rPr>
      </w:pPr>
    </w:p>
    <w:p>
      <w:pPr>
        <w:widowControl w:val="0"/>
        <w:numPr>
          <w:ilvl w:val="0"/>
          <w:numId w:val="0"/>
        </w:numPr>
        <w:autoSpaceDE w:val="0"/>
        <w:autoSpaceDN w:val="0"/>
        <w:spacing w:beforeLines="0" w:afterLines="0" w:line="580" w:lineRule="exact"/>
        <w:rPr>
          <w:rFonts w:hint="eastAsia" w:ascii="仿宋_GB2312" w:hAnsi="仿宋_GB2312" w:eastAsia="仿宋_GB2312"/>
          <w:color w:val="auto"/>
          <w:sz w:val="32"/>
          <w:szCs w:val="24"/>
        </w:rPr>
      </w:pPr>
    </w:p>
    <w:p>
      <w:pPr>
        <w:widowControl w:val="0"/>
        <w:numPr>
          <w:ilvl w:val="0"/>
          <w:numId w:val="0"/>
        </w:numPr>
        <w:autoSpaceDE w:val="0"/>
        <w:autoSpaceDN w:val="0"/>
        <w:spacing w:beforeLines="0" w:afterLines="0" w:line="580" w:lineRule="exact"/>
        <w:rPr>
          <w:rFonts w:hint="eastAsia" w:ascii="仿宋_GB2312" w:hAnsi="仿宋_GB2312" w:eastAsia="仿宋_GB2312"/>
          <w:color w:val="auto"/>
          <w:sz w:val="32"/>
          <w:szCs w:val="24"/>
        </w:rPr>
      </w:pPr>
    </w:p>
    <w:p>
      <w:pPr>
        <w:widowControl w:val="0"/>
        <w:numPr>
          <w:ilvl w:val="0"/>
          <w:numId w:val="0"/>
        </w:numPr>
        <w:autoSpaceDE w:val="0"/>
        <w:autoSpaceDN w:val="0"/>
        <w:spacing w:beforeLines="0" w:afterLines="0" w:line="580" w:lineRule="exact"/>
        <w:rPr>
          <w:rFonts w:hint="eastAsia" w:ascii="仿宋_GB2312" w:hAnsi="仿宋_GB2312" w:eastAsia="仿宋_GB2312"/>
          <w:color w:val="auto"/>
          <w:sz w:val="32"/>
          <w:szCs w:val="24"/>
        </w:rPr>
      </w:pPr>
    </w:p>
    <w:tbl>
      <w:tblPr>
        <w:tblStyle w:val="2"/>
        <w:tblpPr w:leftFromText="180" w:rightFromText="180" w:vertAnchor="text" w:horzAnchor="page" w:tblpX="1749" w:tblpY="-55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984"/>
        <w:gridCol w:w="984"/>
        <w:gridCol w:w="984"/>
        <w:gridCol w:w="350"/>
        <w:gridCol w:w="634"/>
        <w:gridCol w:w="984"/>
        <w:gridCol w:w="984"/>
        <w:gridCol w:w="984"/>
        <w:gridCol w:w="9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856" w:type="dxa"/>
            <w:gridSpan w:val="10"/>
            <w:tcBorders>
              <w:top w:val="nil"/>
              <w:left w:val="nil"/>
              <w:bottom w:val="nil"/>
              <w:right w:val="nil"/>
              <w:tl2br w:val="nil"/>
              <w:tr2bl w:val="nil"/>
            </w:tcBorders>
            <w:noWrap w:val="0"/>
            <w:vAlign w:val="top"/>
          </w:tcPr>
          <w:p>
            <w:pPr>
              <w:widowControl w:val="0"/>
              <w:numPr>
                <w:ilvl w:val="0"/>
                <w:numId w:val="0"/>
              </w:numPr>
              <w:autoSpaceDE w:val="0"/>
              <w:autoSpaceDN w:val="0"/>
              <w:spacing w:beforeLines="0" w:afterLines="0" w:line="580" w:lineRule="exact"/>
              <w:rPr>
                <w:rFonts w:hint="eastAsia" w:ascii="宋体" w:hAnsi="宋体"/>
                <w:sz w:val="44"/>
                <w:szCs w:val="24"/>
              </w:rPr>
            </w:pPr>
            <w:r>
              <w:rPr>
                <w:rFonts w:hint="eastAsia" w:ascii="仿宋_GB2312" w:hAnsi="仿宋_GB2312" w:eastAsia="仿宋_GB2312"/>
                <w:color w:val="auto"/>
                <w:sz w:val="32"/>
                <w:szCs w:val="24"/>
              </w:rPr>
              <w:br w:type="page"/>
            </w:r>
            <w:r>
              <w:rPr>
                <w:rFonts w:hint="eastAsia" w:ascii="宋体" w:hAnsi="宋体"/>
                <w:color w:val="000000"/>
                <w:kern w:val="0"/>
                <w:sz w:val="36"/>
                <w:szCs w:val="24"/>
                <w14:shadow w14:blurRad="50800" w14:dist="38100" w14:dir="2700000" w14:sx="100000" w14:sy="100000" w14:kx="0" w14:ky="0" w14:algn="tl">
                  <w14:srgbClr w14:val="000000">
                    <w14:alpha w14:val="60000"/>
                  </w14:srgbClr>
                </w14:shadow>
              </w:rPr>
              <w:t xml:space="preserve">                项目支出绩效自评表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56" w:type="dxa"/>
            <w:gridSpan w:val="10"/>
            <w:tcBorders>
              <w:top w:val="nil"/>
              <w:left w:val="nil"/>
              <w:bottom w:val="single" w:color="auto" w:sz="6" w:space="0"/>
              <w:right w:val="nil"/>
              <w:tl2br w:val="nil"/>
              <w:tr2bl w:val="nil"/>
            </w:tcBorders>
            <w:noWrap w:val="0"/>
            <w:vAlign w:val="top"/>
          </w:tcPr>
          <w:p>
            <w:pPr>
              <w:autoSpaceDE w:val="0"/>
              <w:autoSpaceDN w:val="0"/>
              <w:spacing w:beforeLines="0" w:afterLines="0"/>
              <w:jc w:val="left"/>
              <w:rPr>
                <w:rFonts w:hint="eastAsia" w:ascii="宋体" w:hAnsi="宋体"/>
                <w:sz w:val="44"/>
                <w:szCs w:val="24"/>
              </w:rPr>
            </w:pPr>
            <w:r>
              <w:rPr>
                <w:rFonts w:hint="eastAsia" w:ascii="宋体" w:hAnsi="宋体"/>
                <w:color w:val="000000"/>
                <w:kern w:val="0"/>
                <w:sz w:val="24"/>
                <w:szCs w:val="24"/>
                <w14:shadow w14:blurRad="50800" w14:dist="38100" w14:dir="2700000" w14:sx="100000" w14:sy="100000" w14:kx="0" w14:ky="0" w14:algn="tl">
                  <w14:srgbClr w14:val="000000">
                    <w14:alpha w14:val="60000"/>
                  </w14:srgbClr>
                </w14:shadow>
              </w:rPr>
              <w:t xml:space="preserve">                              （ 2020 年度）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项目名称</w:t>
            </w:r>
          </w:p>
        </w:tc>
        <w:tc>
          <w:tcPr>
            <w:tcW w:w="2952" w:type="dxa"/>
            <w:gridSpan w:val="4"/>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政务服务大厅装修费</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项目负责人及电话</w:t>
            </w:r>
          </w:p>
        </w:tc>
        <w:tc>
          <w:tcPr>
            <w:tcW w:w="2952"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王九生 0475-4224502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主管部门</w:t>
            </w:r>
          </w:p>
        </w:tc>
        <w:tc>
          <w:tcPr>
            <w:tcW w:w="2952" w:type="dxa"/>
            <w:gridSpan w:val="4"/>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奈曼旗政务服务局</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实施单位</w:t>
            </w:r>
          </w:p>
        </w:tc>
        <w:tc>
          <w:tcPr>
            <w:tcW w:w="2952"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奈曼旗政务服务局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项目预算执行情况 （万元）</w:t>
            </w:r>
          </w:p>
        </w:tc>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p>
        </w:tc>
        <w:tc>
          <w:tcPr>
            <w:tcW w:w="984"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全年预算数（A）</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全年执行数（B）</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分值</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执行率（B/A)</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p>
        </w:tc>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年度资金总额：</w:t>
            </w:r>
          </w:p>
        </w:tc>
        <w:tc>
          <w:tcPr>
            <w:tcW w:w="984"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176万元</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176万元</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10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10%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p>
        </w:tc>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其中：财政拨款</w:t>
            </w:r>
          </w:p>
        </w:tc>
        <w:tc>
          <w:tcPr>
            <w:tcW w:w="984"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176万元</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176万元</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p>
        </w:tc>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其他资金</w:t>
            </w:r>
          </w:p>
        </w:tc>
        <w:tc>
          <w:tcPr>
            <w:tcW w:w="984"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4" w:type="dxa"/>
            <w:vMerge w:val="restart"/>
            <w:tcBorders>
              <w:top w:val="single" w:color="auto" w:sz="6" w:space="0"/>
              <w:left w:val="single" w:color="auto" w:sz="6" w:space="0"/>
              <w:bottom w:val="single" w:color="auto" w:sz="4"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年度总体目标完成情况</w:t>
            </w:r>
          </w:p>
        </w:tc>
        <w:tc>
          <w:tcPr>
            <w:tcW w:w="3936" w:type="dxa"/>
            <w:gridSpan w:val="5"/>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预期目标</w:t>
            </w:r>
          </w:p>
        </w:tc>
        <w:tc>
          <w:tcPr>
            <w:tcW w:w="3936" w:type="dxa"/>
            <w:gridSpan w:val="4"/>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目标实际完成情况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984" w:type="dxa"/>
            <w:vMerge w:val="continue"/>
            <w:tcBorders>
              <w:top w:val="single" w:color="auto" w:sz="4"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p>
        </w:tc>
        <w:tc>
          <w:tcPr>
            <w:tcW w:w="3936"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autoSpaceDN w:val="0"/>
              <w:spacing w:beforeLines="0" w:afterLines="0"/>
              <w:jc w:val="left"/>
              <w:textAlignment w:val="center"/>
              <w:rPr>
                <w:rFonts w:hint="eastAsia" w:ascii="宋体" w:hAnsi="宋体"/>
                <w:sz w:val="44"/>
                <w:szCs w:val="24"/>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按时完成政府办公厅（室）及相关机构事务工作</w:t>
            </w:r>
          </w:p>
        </w:tc>
        <w:tc>
          <w:tcPr>
            <w:tcW w:w="3936" w:type="dxa"/>
            <w:gridSpan w:val="4"/>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center"/>
              <w:rPr>
                <w:rFonts w:hint="eastAsia" w:ascii="宋体" w:hAnsi="宋体"/>
                <w:sz w:val="44"/>
                <w:szCs w:val="24"/>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按时完成政府办公厅（室）及相关机构事务工作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984" w:type="dxa"/>
            <w:vMerge w:val="restart"/>
            <w:tcBorders>
              <w:top w:val="single" w:color="auto" w:sz="6" w:space="0"/>
              <w:left w:val="single" w:color="auto" w:sz="6" w:space="0"/>
              <w:bottom w:val="single" w:color="auto" w:sz="4" w:space="0"/>
              <w:right w:val="single" w:color="auto" w:sz="6" w:space="0"/>
              <w:tl2br w:val="nil"/>
              <w:tr2bl w:val="nil"/>
            </w:tcBorders>
            <w:noWrap w:val="0"/>
            <w:vAlign w:val="top"/>
          </w:tcPr>
          <w:p>
            <w:pPr>
              <w:autoSpaceDE w:val="0"/>
              <w:autoSpaceDN w:val="0"/>
              <w:spacing w:beforeLines="0" w:afterLines="0"/>
              <w:jc w:val="cente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p>
          <w:p>
            <w:pPr>
              <w:autoSpaceDE w:val="0"/>
              <w:autoSpaceDN w:val="0"/>
              <w:spacing w:beforeLines="0" w:afterLines="0"/>
              <w:jc w:val="cente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p>
          <w:p>
            <w:pPr>
              <w:autoSpaceDE w:val="0"/>
              <w:autoSpaceDN w:val="0"/>
              <w:spacing w:beforeLines="0" w:afterLines="0"/>
              <w:jc w:val="cente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p>
          <w:p>
            <w:pPr>
              <w:autoSpaceDE w:val="0"/>
              <w:autoSpaceDN w:val="0"/>
              <w:spacing w:beforeLines="0" w:afterLines="0"/>
              <w:jc w:val="cente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p>
          <w:p>
            <w:pPr>
              <w:autoSpaceDE w:val="0"/>
              <w:autoSpaceDN w:val="0"/>
              <w:spacing w:beforeLines="0" w:afterLines="0"/>
              <w:jc w:val="cente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p>
          <w:p>
            <w:pPr>
              <w:autoSpaceDE w:val="0"/>
              <w:autoSpaceDN w:val="0"/>
              <w:spacing w:beforeLines="0" w:afterLines="0"/>
              <w:jc w:val="cente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p>
          <w:p>
            <w:pPr>
              <w:autoSpaceDE w:val="0"/>
              <w:autoSpaceDN w:val="0"/>
              <w:spacing w:beforeLines="0" w:afterLines="0"/>
              <w:jc w:val="cente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p>
          <w:p>
            <w:pPr>
              <w:autoSpaceDE w:val="0"/>
              <w:autoSpaceDN w:val="0"/>
              <w:spacing w:beforeLines="0" w:afterLines="0"/>
              <w:jc w:val="cente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 xml:space="preserve">  </w:t>
            </w:r>
          </w:p>
          <w:p>
            <w:pPr>
              <w:autoSpaceDE w:val="0"/>
              <w:autoSpaceDN w:val="0"/>
              <w:spacing w:beforeLines="0" w:afterLines="0"/>
              <w:jc w:val="cente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绩</w:t>
            </w:r>
          </w:p>
          <w:p>
            <w:pPr>
              <w:autoSpaceDE w:val="0"/>
              <w:autoSpaceDN w:val="0"/>
              <w:spacing w:beforeLines="0" w:afterLines="0"/>
              <w:jc w:val="cente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效</w:t>
            </w:r>
          </w:p>
          <w:p>
            <w:pPr>
              <w:autoSpaceDE w:val="0"/>
              <w:autoSpaceDN w:val="0"/>
              <w:spacing w:beforeLines="0" w:afterLines="0"/>
              <w:jc w:val="cente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指</w:t>
            </w:r>
          </w:p>
          <w:p>
            <w:pPr>
              <w:autoSpaceDE w:val="0"/>
              <w:autoSpaceDN w:val="0"/>
              <w:spacing w:beforeLines="0" w:afterLines="0"/>
              <w:jc w:val="center"/>
              <w:rPr>
                <w:rFonts w:hint="eastAsia" w:ascii="宋体" w:hAnsi="宋体"/>
                <w:sz w:val="44"/>
                <w:szCs w:val="24"/>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一级指标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二级指标</w:t>
            </w:r>
          </w:p>
        </w:tc>
        <w:tc>
          <w:tcPr>
            <w:tcW w:w="1334"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三级指标</w:t>
            </w:r>
          </w:p>
        </w:tc>
        <w:tc>
          <w:tcPr>
            <w:tcW w:w="63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分值</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预期指标值</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实际完成指标值</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得分</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未完成原因及拟采取的改进措施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4" w:type="dxa"/>
            <w:vMerge w:val="continue"/>
            <w:tcBorders>
              <w:top w:val="single" w:color="auto" w:sz="4" w:space="0"/>
              <w:left w:val="single" w:color="auto" w:sz="6" w:space="0"/>
              <w:bottom w:val="single" w:color="auto" w:sz="4"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p>
        </w:tc>
        <w:tc>
          <w:tcPr>
            <w:tcW w:w="984" w:type="dxa"/>
            <w:tcBorders>
              <w:top w:val="single" w:color="auto" w:sz="6" w:space="0"/>
              <w:left w:val="single" w:color="auto" w:sz="6" w:space="0"/>
              <w:bottom w:val="single" w:color="auto" w:sz="4"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p>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p>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p>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p>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p>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p>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p>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p>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产出指标 (60分)</w:t>
            </w:r>
          </w:p>
        </w:tc>
        <w:tc>
          <w:tcPr>
            <w:tcW w:w="984" w:type="dxa"/>
            <w:tcBorders>
              <w:top w:val="single" w:color="auto" w:sz="6" w:space="0"/>
              <w:left w:val="single" w:color="auto" w:sz="6" w:space="0"/>
              <w:bottom w:val="single" w:color="auto" w:sz="4"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p>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p>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p>
          <w:p>
            <w:pPr>
              <w:autoSpaceDE w:val="0"/>
              <w:autoSpaceDN w:val="0"/>
              <w:spacing w:beforeLines="0" w:afterLines="0"/>
              <w:jc w:val="left"/>
              <w:rPr>
                <w:rFonts w:hint="eastAsia" w:ascii="宋体" w:hAnsi="宋体"/>
                <w:sz w:val="44"/>
                <w:szCs w:val="24"/>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数量指标</w:t>
            </w:r>
          </w:p>
        </w:tc>
        <w:tc>
          <w:tcPr>
            <w:tcW w:w="133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政务服务大厅装修费</w:t>
            </w:r>
          </w:p>
        </w:tc>
        <w:tc>
          <w:tcPr>
            <w:tcW w:w="63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15分</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176万元</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176万元</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30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4" w:type="dxa"/>
            <w:vMerge w:val="continue"/>
            <w:tcBorders>
              <w:top w:val="single" w:color="auto" w:sz="4" w:space="0"/>
              <w:left w:val="single" w:color="auto" w:sz="6" w:space="0"/>
              <w:bottom w:val="single" w:color="auto" w:sz="4"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p>
        </w:tc>
        <w:tc>
          <w:tcPr>
            <w:tcW w:w="984" w:type="dxa"/>
            <w:tcBorders>
              <w:top w:val="single" w:color="auto" w:sz="4" w:space="0"/>
              <w:left w:val="single" w:color="auto" w:sz="6" w:space="0"/>
              <w:bottom w:val="single" w:color="auto" w:sz="4"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质量指标</w:t>
            </w:r>
          </w:p>
        </w:tc>
        <w:tc>
          <w:tcPr>
            <w:tcW w:w="1334"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按质完成相关工作。</w:t>
            </w:r>
          </w:p>
        </w:tc>
        <w:tc>
          <w:tcPr>
            <w:tcW w:w="63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15分</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按质完成相关工作。</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按质完成相关工作。</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4" w:type="dxa"/>
            <w:vMerge w:val="continue"/>
            <w:tcBorders>
              <w:top w:val="single" w:color="auto" w:sz="4" w:space="0"/>
              <w:left w:val="single" w:color="auto" w:sz="6" w:space="0"/>
              <w:bottom w:val="single" w:color="auto" w:sz="4"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p>
        </w:tc>
        <w:tc>
          <w:tcPr>
            <w:tcW w:w="984" w:type="dxa"/>
            <w:tcBorders>
              <w:top w:val="single" w:color="auto" w:sz="4" w:space="0"/>
              <w:left w:val="single" w:color="auto" w:sz="6" w:space="0"/>
              <w:bottom w:val="single" w:color="auto" w:sz="4"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时效指标</w:t>
            </w:r>
          </w:p>
        </w:tc>
        <w:tc>
          <w:tcPr>
            <w:tcW w:w="1334"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按时完成相关工作。</w:t>
            </w:r>
          </w:p>
        </w:tc>
        <w:tc>
          <w:tcPr>
            <w:tcW w:w="63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15分</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按时完成相关工作。</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4" w:type="dxa"/>
            <w:vMerge w:val="continue"/>
            <w:tcBorders>
              <w:top w:val="single" w:color="auto" w:sz="4" w:space="0"/>
              <w:left w:val="single" w:color="auto" w:sz="6" w:space="0"/>
              <w:bottom w:val="single" w:color="auto" w:sz="4"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p>
        </w:tc>
        <w:tc>
          <w:tcPr>
            <w:tcW w:w="984" w:type="dxa"/>
            <w:tcBorders>
              <w:top w:val="single" w:color="auto" w:sz="4"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成本指标</w:t>
            </w:r>
          </w:p>
        </w:tc>
        <w:tc>
          <w:tcPr>
            <w:tcW w:w="1334"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控制成本在合理区间。</w:t>
            </w:r>
          </w:p>
        </w:tc>
        <w:tc>
          <w:tcPr>
            <w:tcW w:w="63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15分</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控制成本在合理区间。</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控制成本在合理区间。</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984" w:type="dxa"/>
            <w:vMerge w:val="continue"/>
            <w:tcBorders>
              <w:top w:val="single" w:color="auto" w:sz="4" w:space="0"/>
              <w:left w:val="single" w:color="auto" w:sz="6" w:space="0"/>
              <w:bottom w:val="single" w:color="auto" w:sz="4"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p>
        </w:tc>
        <w:tc>
          <w:tcPr>
            <w:tcW w:w="984" w:type="dxa"/>
            <w:tcBorders>
              <w:top w:val="single" w:color="auto" w:sz="6" w:space="0"/>
              <w:left w:val="single" w:color="auto" w:sz="6" w:space="0"/>
              <w:bottom w:val="single" w:color="auto" w:sz="4"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p>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p>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p>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效益指标</w:t>
            </w:r>
          </w:p>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 xml:space="preserve">(30分) </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社会效益指标</w:t>
            </w:r>
          </w:p>
        </w:tc>
        <w:tc>
          <w:tcPr>
            <w:tcW w:w="1334"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提供良好的工作环境和办事环境。</w:t>
            </w:r>
          </w:p>
        </w:tc>
        <w:tc>
          <w:tcPr>
            <w:tcW w:w="63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30分</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提供良好的工作环境和办事环境。</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提供良好的工作环境和办事环境。</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4" w:type="dxa"/>
            <w:vMerge w:val="continue"/>
            <w:tcBorders>
              <w:top w:val="single" w:color="auto" w:sz="4"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满意度指标(10分)</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服务对象满意度指标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服务对象满意度指标</w:t>
            </w:r>
          </w:p>
        </w:tc>
        <w:tc>
          <w:tcPr>
            <w:tcW w:w="984"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10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&gt;=90%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100%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10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936" w:type="dxa"/>
            <w:gridSpan w:val="4"/>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总分</w:t>
            </w:r>
          </w:p>
        </w:tc>
        <w:tc>
          <w:tcPr>
            <w:tcW w:w="984"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100</w:t>
            </w:r>
          </w:p>
        </w:tc>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100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p>
        </w:tc>
      </w:tr>
    </w:tbl>
    <w:p>
      <w:pPr>
        <w:widowControl w:val="0"/>
        <w:autoSpaceDE w:val="0"/>
        <w:autoSpaceDN w:val="0"/>
        <w:spacing w:beforeLines="0" w:afterLines="0" w:line="580" w:lineRule="exact"/>
        <w:rPr>
          <w:rFonts w:hint="eastAsia" w:ascii="仿宋_GB2312" w:hAnsi="仿宋_GB2312" w:eastAsia="仿宋_GB2312"/>
          <w:b/>
          <w:color w:val="FF0000"/>
          <w:sz w:val="32"/>
          <w:szCs w:val="24"/>
        </w:rPr>
      </w:pPr>
    </w:p>
    <w:tbl>
      <w:tblPr>
        <w:tblStyle w:val="2"/>
        <w:tblpPr w:leftFromText="180" w:rightFromText="180" w:vertAnchor="text" w:horzAnchor="page" w:tblpX="1805" w:tblpY="-1"/>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984"/>
        <w:gridCol w:w="984"/>
        <w:gridCol w:w="984"/>
        <w:gridCol w:w="350"/>
        <w:gridCol w:w="634"/>
        <w:gridCol w:w="984"/>
        <w:gridCol w:w="984"/>
        <w:gridCol w:w="984"/>
        <w:gridCol w:w="9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56" w:type="dxa"/>
            <w:gridSpan w:val="10"/>
            <w:tcBorders>
              <w:top w:val="nil"/>
              <w:left w:val="nil"/>
              <w:bottom w:val="nil"/>
              <w:right w:val="nil"/>
              <w:tl2br w:val="nil"/>
              <w:tr2bl w:val="nil"/>
            </w:tcBorders>
            <w:noWrap w:val="0"/>
            <w:vAlign w:val="top"/>
          </w:tcPr>
          <w:p>
            <w:pPr>
              <w:autoSpaceDE w:val="0"/>
              <w:autoSpaceDN w:val="0"/>
              <w:spacing w:beforeLines="0" w:afterLines="0"/>
              <w:jc w:val="left"/>
              <w:rPr>
                <w:rFonts w:hint="eastAsia" w:ascii="宋体" w:hAnsi="宋体"/>
                <w:sz w:val="44"/>
                <w:szCs w:val="24"/>
              </w:rPr>
            </w:pPr>
            <w:r>
              <w:rPr>
                <w:rFonts w:hint="eastAsia" w:ascii="宋体" w:hAnsi="宋体"/>
                <w:color w:val="000000"/>
                <w:kern w:val="0"/>
                <w:sz w:val="36"/>
                <w:szCs w:val="24"/>
                <w14:shadow w14:blurRad="50800" w14:dist="38100" w14:dir="2700000" w14:sx="100000" w14:sy="100000" w14:kx="0" w14:ky="0" w14:algn="tl">
                  <w14:srgbClr w14:val="000000">
                    <w14:alpha w14:val="60000"/>
                  </w14:srgbClr>
                </w14:shadow>
              </w:rPr>
              <w:t xml:space="preserve">                 项目支出绩效自评表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856" w:type="dxa"/>
            <w:gridSpan w:val="10"/>
            <w:tcBorders>
              <w:top w:val="nil"/>
              <w:left w:val="nil"/>
              <w:bottom w:val="single" w:color="auto" w:sz="6" w:space="0"/>
              <w:right w:val="nil"/>
              <w:tl2br w:val="nil"/>
              <w:tr2bl w:val="nil"/>
            </w:tcBorders>
            <w:noWrap w:val="0"/>
            <w:vAlign w:val="top"/>
          </w:tcPr>
          <w:p>
            <w:pPr>
              <w:autoSpaceDE w:val="0"/>
              <w:autoSpaceDN w:val="0"/>
              <w:spacing w:beforeLines="0" w:afterLines="0"/>
              <w:jc w:val="left"/>
              <w:rPr>
                <w:rFonts w:hint="eastAsia" w:ascii="宋体" w:hAnsi="宋体"/>
                <w:sz w:val="44"/>
                <w:szCs w:val="24"/>
              </w:rPr>
            </w:pPr>
            <w:r>
              <w:rPr>
                <w:rFonts w:hint="eastAsia" w:ascii="宋体" w:hAnsi="宋体"/>
                <w:color w:val="000000"/>
                <w:kern w:val="0"/>
                <w:sz w:val="24"/>
                <w:szCs w:val="24"/>
                <w14:shadow w14:blurRad="50800" w14:dist="38100" w14:dir="2700000" w14:sx="100000" w14:sy="100000" w14:kx="0" w14:ky="0" w14:algn="tl">
                  <w14:srgbClr w14:val="000000">
                    <w14:alpha w14:val="60000"/>
                  </w14:srgbClr>
                </w14:shadow>
              </w:rPr>
              <w:t xml:space="preserve">                              （ 2020 年度）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项目名称</w:t>
            </w:r>
          </w:p>
        </w:tc>
        <w:tc>
          <w:tcPr>
            <w:tcW w:w="2952" w:type="dxa"/>
            <w:gridSpan w:val="4"/>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办公设备购置</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项目负责人及电话</w:t>
            </w:r>
          </w:p>
        </w:tc>
        <w:tc>
          <w:tcPr>
            <w:tcW w:w="2952"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王九生 0475-4224502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主管部门</w:t>
            </w:r>
          </w:p>
        </w:tc>
        <w:tc>
          <w:tcPr>
            <w:tcW w:w="2952" w:type="dxa"/>
            <w:gridSpan w:val="4"/>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奈曼旗政务服务局</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实施单位</w:t>
            </w:r>
          </w:p>
        </w:tc>
        <w:tc>
          <w:tcPr>
            <w:tcW w:w="2952"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奈曼旗政务服务局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项目预算执行情况 （万元）</w:t>
            </w:r>
          </w:p>
        </w:tc>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p>
        </w:tc>
        <w:tc>
          <w:tcPr>
            <w:tcW w:w="984"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全年预算数（A）</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全年执行数（B）</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分值</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执行率（B/A)</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p>
        </w:tc>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年度资金总额：</w:t>
            </w:r>
          </w:p>
        </w:tc>
        <w:tc>
          <w:tcPr>
            <w:tcW w:w="984"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22.17万元</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22.17万元</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10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10%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p>
        </w:tc>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其中：财政拨款</w:t>
            </w:r>
          </w:p>
        </w:tc>
        <w:tc>
          <w:tcPr>
            <w:tcW w:w="984"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22.17万元</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22.17万元</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p>
        </w:tc>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其他资金</w:t>
            </w:r>
          </w:p>
        </w:tc>
        <w:tc>
          <w:tcPr>
            <w:tcW w:w="984"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4" w:type="dxa"/>
            <w:vMerge w:val="restart"/>
            <w:tcBorders>
              <w:top w:val="single" w:color="auto" w:sz="6" w:space="0"/>
              <w:left w:val="single" w:color="auto" w:sz="6" w:space="0"/>
              <w:bottom w:val="single" w:color="auto" w:sz="4"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年度总体目标完成情况</w:t>
            </w:r>
          </w:p>
        </w:tc>
        <w:tc>
          <w:tcPr>
            <w:tcW w:w="3936" w:type="dxa"/>
            <w:gridSpan w:val="5"/>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预期目标</w:t>
            </w:r>
          </w:p>
        </w:tc>
        <w:tc>
          <w:tcPr>
            <w:tcW w:w="3936" w:type="dxa"/>
            <w:gridSpan w:val="4"/>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目标实际完成情况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984" w:type="dxa"/>
            <w:vMerge w:val="continue"/>
            <w:tcBorders>
              <w:top w:val="single" w:color="auto" w:sz="4"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p>
        </w:tc>
        <w:tc>
          <w:tcPr>
            <w:tcW w:w="3936"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autoSpaceDN w:val="0"/>
              <w:spacing w:beforeLines="0" w:afterLines="0"/>
              <w:jc w:val="left"/>
              <w:textAlignment w:val="center"/>
              <w:rPr>
                <w:rFonts w:hint="eastAsia" w:ascii="宋体" w:hAnsi="宋体"/>
                <w:sz w:val="44"/>
                <w:szCs w:val="24"/>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按时完成办公设备购置工作</w:t>
            </w:r>
          </w:p>
        </w:tc>
        <w:tc>
          <w:tcPr>
            <w:tcW w:w="3936" w:type="dxa"/>
            <w:gridSpan w:val="4"/>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center"/>
              <w:rPr>
                <w:rFonts w:hint="eastAsia" w:ascii="宋体" w:hAnsi="宋体"/>
                <w:sz w:val="44"/>
                <w:szCs w:val="24"/>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按时完办公设备购置工作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984" w:type="dxa"/>
            <w:vMerge w:val="restart"/>
            <w:tcBorders>
              <w:top w:val="single" w:color="auto" w:sz="6" w:space="0"/>
              <w:left w:val="single" w:color="auto" w:sz="6" w:space="0"/>
              <w:bottom w:val="single" w:color="auto" w:sz="4" w:space="0"/>
              <w:right w:val="single" w:color="auto" w:sz="6" w:space="0"/>
              <w:tl2br w:val="nil"/>
              <w:tr2bl w:val="nil"/>
            </w:tcBorders>
            <w:noWrap w:val="0"/>
            <w:vAlign w:val="top"/>
          </w:tcPr>
          <w:p>
            <w:pPr>
              <w:autoSpaceDE w:val="0"/>
              <w:autoSpaceDN w:val="0"/>
              <w:spacing w:beforeLines="0" w:afterLines="0"/>
              <w:jc w:val="cente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p>
          <w:p>
            <w:pPr>
              <w:autoSpaceDE w:val="0"/>
              <w:autoSpaceDN w:val="0"/>
              <w:spacing w:beforeLines="0" w:afterLines="0"/>
              <w:jc w:val="cente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p>
          <w:p>
            <w:pPr>
              <w:autoSpaceDE w:val="0"/>
              <w:autoSpaceDN w:val="0"/>
              <w:spacing w:beforeLines="0" w:afterLines="0"/>
              <w:jc w:val="cente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p>
          <w:p>
            <w:pPr>
              <w:autoSpaceDE w:val="0"/>
              <w:autoSpaceDN w:val="0"/>
              <w:spacing w:beforeLines="0" w:afterLines="0"/>
              <w:jc w:val="cente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p>
          <w:p>
            <w:pPr>
              <w:autoSpaceDE w:val="0"/>
              <w:autoSpaceDN w:val="0"/>
              <w:spacing w:beforeLines="0" w:afterLines="0"/>
              <w:jc w:val="cente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p>
          <w:p>
            <w:pPr>
              <w:autoSpaceDE w:val="0"/>
              <w:autoSpaceDN w:val="0"/>
              <w:spacing w:beforeLines="0" w:afterLines="0"/>
              <w:jc w:val="cente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p>
          <w:p>
            <w:pPr>
              <w:autoSpaceDE w:val="0"/>
              <w:autoSpaceDN w:val="0"/>
              <w:spacing w:beforeLines="0" w:afterLines="0"/>
              <w:jc w:val="cente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p>
          <w:p>
            <w:pPr>
              <w:autoSpaceDE w:val="0"/>
              <w:autoSpaceDN w:val="0"/>
              <w:spacing w:beforeLines="0" w:afterLines="0"/>
              <w:jc w:val="cente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 xml:space="preserve">  </w:t>
            </w:r>
          </w:p>
          <w:p>
            <w:pPr>
              <w:autoSpaceDE w:val="0"/>
              <w:autoSpaceDN w:val="0"/>
              <w:spacing w:beforeLines="0" w:afterLines="0"/>
              <w:jc w:val="cente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绩</w:t>
            </w:r>
          </w:p>
          <w:p>
            <w:pPr>
              <w:autoSpaceDE w:val="0"/>
              <w:autoSpaceDN w:val="0"/>
              <w:spacing w:beforeLines="0" w:afterLines="0"/>
              <w:jc w:val="cente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效</w:t>
            </w:r>
          </w:p>
          <w:p>
            <w:pPr>
              <w:autoSpaceDE w:val="0"/>
              <w:autoSpaceDN w:val="0"/>
              <w:spacing w:beforeLines="0" w:afterLines="0"/>
              <w:jc w:val="cente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指</w:t>
            </w:r>
          </w:p>
          <w:p>
            <w:pPr>
              <w:autoSpaceDE w:val="0"/>
              <w:autoSpaceDN w:val="0"/>
              <w:spacing w:beforeLines="0" w:afterLines="0"/>
              <w:jc w:val="center"/>
              <w:rPr>
                <w:rFonts w:hint="eastAsia" w:ascii="宋体" w:hAnsi="宋体"/>
                <w:sz w:val="44"/>
                <w:szCs w:val="24"/>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一级指标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二级指标</w:t>
            </w:r>
          </w:p>
        </w:tc>
        <w:tc>
          <w:tcPr>
            <w:tcW w:w="1334"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三级指标</w:t>
            </w:r>
          </w:p>
        </w:tc>
        <w:tc>
          <w:tcPr>
            <w:tcW w:w="63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分值</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预期指标值</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实际完成指标值</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得分</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未完成原因及拟采取的改进措施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4" w:type="dxa"/>
            <w:vMerge w:val="continue"/>
            <w:tcBorders>
              <w:top w:val="single" w:color="auto" w:sz="4" w:space="0"/>
              <w:left w:val="single" w:color="auto" w:sz="6" w:space="0"/>
              <w:bottom w:val="single" w:color="auto" w:sz="4"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p>
        </w:tc>
        <w:tc>
          <w:tcPr>
            <w:tcW w:w="984" w:type="dxa"/>
            <w:tcBorders>
              <w:top w:val="single" w:color="auto" w:sz="6" w:space="0"/>
              <w:left w:val="single" w:color="auto" w:sz="6" w:space="0"/>
              <w:bottom w:val="single" w:color="auto" w:sz="4"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p>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产出指标 (60分)</w:t>
            </w:r>
          </w:p>
        </w:tc>
        <w:tc>
          <w:tcPr>
            <w:tcW w:w="984" w:type="dxa"/>
            <w:tcBorders>
              <w:top w:val="single" w:color="auto" w:sz="6" w:space="0"/>
              <w:left w:val="single" w:color="auto" w:sz="6" w:space="0"/>
              <w:bottom w:val="single" w:color="auto" w:sz="4"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p>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p>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p>
          <w:p>
            <w:pPr>
              <w:autoSpaceDE w:val="0"/>
              <w:autoSpaceDN w:val="0"/>
              <w:spacing w:beforeLines="0" w:afterLines="0"/>
              <w:jc w:val="left"/>
              <w:rPr>
                <w:rFonts w:hint="eastAsia" w:ascii="宋体" w:hAnsi="宋体"/>
                <w:sz w:val="44"/>
                <w:szCs w:val="24"/>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数量指标</w:t>
            </w:r>
          </w:p>
        </w:tc>
        <w:tc>
          <w:tcPr>
            <w:tcW w:w="133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办公设备购置费</w:t>
            </w:r>
          </w:p>
        </w:tc>
        <w:tc>
          <w:tcPr>
            <w:tcW w:w="63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24分</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22.17万元</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22.17万元</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30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4" w:type="dxa"/>
            <w:vMerge w:val="continue"/>
            <w:tcBorders>
              <w:top w:val="single" w:color="auto" w:sz="4" w:space="0"/>
              <w:left w:val="single" w:color="auto" w:sz="6" w:space="0"/>
              <w:bottom w:val="single" w:color="auto" w:sz="4"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p>
        </w:tc>
        <w:tc>
          <w:tcPr>
            <w:tcW w:w="984" w:type="dxa"/>
            <w:tcBorders>
              <w:top w:val="single" w:color="auto" w:sz="4" w:space="0"/>
              <w:left w:val="single" w:color="auto" w:sz="6" w:space="0"/>
              <w:bottom w:val="single" w:color="auto" w:sz="4"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质量指标</w:t>
            </w:r>
          </w:p>
        </w:tc>
        <w:tc>
          <w:tcPr>
            <w:tcW w:w="1334"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按质完成相关工作。</w:t>
            </w:r>
          </w:p>
        </w:tc>
        <w:tc>
          <w:tcPr>
            <w:tcW w:w="63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12分</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按质完成相关工作。</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按质完成相关工作。</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4" w:type="dxa"/>
            <w:vMerge w:val="continue"/>
            <w:tcBorders>
              <w:top w:val="single" w:color="auto" w:sz="4" w:space="0"/>
              <w:left w:val="single" w:color="auto" w:sz="6" w:space="0"/>
              <w:bottom w:val="single" w:color="auto" w:sz="4"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p>
        </w:tc>
        <w:tc>
          <w:tcPr>
            <w:tcW w:w="984" w:type="dxa"/>
            <w:tcBorders>
              <w:top w:val="single" w:color="auto" w:sz="4" w:space="0"/>
              <w:left w:val="single" w:color="auto" w:sz="6" w:space="0"/>
              <w:bottom w:val="single" w:color="auto" w:sz="4"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时效指标</w:t>
            </w:r>
          </w:p>
        </w:tc>
        <w:tc>
          <w:tcPr>
            <w:tcW w:w="1334"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按时完成相关工作。</w:t>
            </w:r>
          </w:p>
        </w:tc>
        <w:tc>
          <w:tcPr>
            <w:tcW w:w="63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12分</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按时完成相关工作。</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4" w:type="dxa"/>
            <w:vMerge w:val="continue"/>
            <w:tcBorders>
              <w:top w:val="single" w:color="auto" w:sz="4" w:space="0"/>
              <w:left w:val="single" w:color="auto" w:sz="6" w:space="0"/>
              <w:bottom w:val="single" w:color="auto" w:sz="4"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p>
        </w:tc>
        <w:tc>
          <w:tcPr>
            <w:tcW w:w="984" w:type="dxa"/>
            <w:tcBorders>
              <w:top w:val="single" w:color="auto" w:sz="4"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成本指标</w:t>
            </w:r>
          </w:p>
        </w:tc>
        <w:tc>
          <w:tcPr>
            <w:tcW w:w="1334"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控制成本在合理区间。</w:t>
            </w:r>
          </w:p>
        </w:tc>
        <w:tc>
          <w:tcPr>
            <w:tcW w:w="63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12分</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控制成本在合理区间。</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控制成本在合理区间。</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4" w:type="dxa"/>
            <w:vMerge w:val="continue"/>
            <w:tcBorders>
              <w:top w:val="single" w:color="auto" w:sz="4" w:space="0"/>
              <w:left w:val="single" w:color="auto" w:sz="6" w:space="0"/>
              <w:bottom w:val="single" w:color="auto" w:sz="4"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p>
        </w:tc>
        <w:tc>
          <w:tcPr>
            <w:tcW w:w="984" w:type="dxa"/>
            <w:vMerge w:val="restart"/>
            <w:tcBorders>
              <w:top w:val="single" w:color="auto" w:sz="6" w:space="0"/>
              <w:left w:val="single" w:color="auto" w:sz="6" w:space="0"/>
              <w:bottom w:val="single" w:color="auto" w:sz="4"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p>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p>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p>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效益指标</w:t>
            </w:r>
          </w:p>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 xml:space="preserve">(30分) </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社会效益指标</w:t>
            </w:r>
          </w:p>
        </w:tc>
        <w:tc>
          <w:tcPr>
            <w:tcW w:w="1334"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提供良好的工作环境和办事环境。</w:t>
            </w:r>
          </w:p>
        </w:tc>
        <w:tc>
          <w:tcPr>
            <w:tcW w:w="63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30分</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提供良好的工作环境和办事环境。</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提供良好的工作环境和办事环境。</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4" w:type="dxa"/>
            <w:vMerge w:val="continue"/>
            <w:tcBorders>
              <w:top w:val="single" w:color="auto" w:sz="4" w:space="0"/>
              <w:left w:val="single" w:color="auto" w:sz="6" w:space="0"/>
              <w:bottom w:val="single" w:color="auto" w:sz="4"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p>
        </w:tc>
        <w:tc>
          <w:tcPr>
            <w:tcW w:w="984" w:type="dxa"/>
            <w:vMerge w:val="continue"/>
            <w:tcBorders>
              <w:top w:val="single" w:color="auto" w:sz="4" w:space="0"/>
              <w:left w:val="single" w:color="auto" w:sz="6" w:space="0"/>
              <w:bottom w:val="single" w:color="auto" w:sz="4"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生态效益指标</w:t>
            </w:r>
          </w:p>
        </w:tc>
        <w:tc>
          <w:tcPr>
            <w:tcW w:w="1334"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p>
        </w:tc>
        <w:tc>
          <w:tcPr>
            <w:tcW w:w="63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4" w:type="dxa"/>
            <w:vMerge w:val="continue"/>
            <w:tcBorders>
              <w:top w:val="single" w:color="auto" w:sz="4" w:space="0"/>
              <w:left w:val="single" w:color="auto" w:sz="6" w:space="0"/>
              <w:bottom w:val="single" w:color="auto" w:sz="4"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p>
        </w:tc>
        <w:tc>
          <w:tcPr>
            <w:tcW w:w="984" w:type="dxa"/>
            <w:vMerge w:val="continue"/>
            <w:tcBorders>
              <w:top w:val="single" w:color="auto" w:sz="4"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可持续影响指标</w:t>
            </w:r>
          </w:p>
        </w:tc>
        <w:tc>
          <w:tcPr>
            <w:tcW w:w="1334"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p>
        </w:tc>
        <w:tc>
          <w:tcPr>
            <w:tcW w:w="63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4" w:type="dxa"/>
            <w:vMerge w:val="continue"/>
            <w:tcBorders>
              <w:top w:val="single" w:color="auto" w:sz="4"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满意度指标(10分)</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服务对象满意度指标</w:t>
            </w:r>
          </w:p>
        </w:tc>
        <w:tc>
          <w:tcPr>
            <w:tcW w:w="1334"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服务对象满意度指标</w:t>
            </w:r>
          </w:p>
        </w:tc>
        <w:tc>
          <w:tcPr>
            <w:tcW w:w="63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10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&gt;=90%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100%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10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86" w:type="dxa"/>
            <w:gridSpan w:val="5"/>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总分</w:t>
            </w:r>
          </w:p>
        </w:tc>
        <w:tc>
          <w:tcPr>
            <w:tcW w:w="63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100</w:t>
            </w:r>
          </w:p>
        </w:tc>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r>
              <w:rPr>
                <w:rFonts w:hint="eastAsia" w:ascii="宋体" w:hAnsi="宋体"/>
                <w:color w:val="000000"/>
                <w:kern w:val="0"/>
                <w:sz w:val="18"/>
                <w:szCs w:val="24"/>
                <w14:shadow w14:blurRad="50800" w14:dist="38100" w14:dir="2700000" w14:sx="100000" w14:sy="100000" w14:kx="0" w14:ky="0" w14:algn="tl">
                  <w14:srgbClr w14:val="000000">
                    <w14:alpha w14:val="60000"/>
                  </w14:srgbClr>
                </w14:shadow>
              </w:rPr>
              <w:t>100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spacing w:beforeLines="0" w:afterLines="0"/>
              <w:jc w:val="left"/>
              <w:rPr>
                <w:rFonts w:hint="eastAsia" w:ascii="宋体" w:hAnsi="宋体"/>
                <w:sz w:val="44"/>
                <w:szCs w:val="24"/>
              </w:rPr>
            </w:pPr>
          </w:p>
        </w:tc>
      </w:tr>
    </w:tbl>
    <w:p>
      <w:pPr>
        <w:widowControl w:val="0"/>
        <w:autoSpaceDE w:val="0"/>
        <w:autoSpaceDN w:val="0"/>
        <w:spacing w:beforeLines="0" w:afterLines="0" w:line="580" w:lineRule="exact"/>
        <w:rPr>
          <w:rFonts w:hint="eastAsia" w:ascii="仿宋_GB2312" w:hAnsi="仿宋_GB2312" w:eastAsia="仿宋_GB2312"/>
          <w:b/>
          <w:color w:val="FF0000"/>
          <w:sz w:val="32"/>
          <w:szCs w:val="24"/>
        </w:rPr>
      </w:pPr>
    </w:p>
    <w:p>
      <w:pPr>
        <w:spacing w:beforeLines="0" w:afterLines="0" w:line="600" w:lineRule="exact"/>
        <w:ind w:firstLine="640" w:firstLineChars="200"/>
        <w:rPr>
          <w:rFonts w:hint="eastAsia" w:ascii="黑体" w:hAnsi="黑体" w:eastAsia="黑体"/>
          <w:sz w:val="32"/>
          <w:szCs w:val="24"/>
        </w:rPr>
      </w:pPr>
      <w:r>
        <w:rPr>
          <w:rFonts w:hint="eastAsia" w:ascii="黑体" w:hAnsi="黑体" w:eastAsia="黑体"/>
          <w:sz w:val="32"/>
          <w:szCs w:val="24"/>
        </w:rPr>
        <w:t>四、其他重要事项的情况说明</w:t>
      </w:r>
    </w:p>
    <w:p>
      <w:pPr>
        <w:spacing w:beforeLines="0" w:afterLines="0" w:line="600" w:lineRule="exact"/>
        <w:ind w:firstLine="643" w:firstLineChars="200"/>
        <w:rPr>
          <w:rFonts w:hint="default" w:eastAsia="Times New Roman"/>
          <w:b/>
          <w:sz w:val="32"/>
          <w:szCs w:val="24"/>
        </w:rPr>
      </w:pPr>
      <w:r>
        <w:rPr>
          <w:rFonts w:hint="eastAsia" w:ascii="仿宋_GB2312" w:hAnsi="仿宋_GB2312" w:eastAsia="仿宋_GB2312"/>
          <w:b/>
          <w:sz w:val="32"/>
          <w:szCs w:val="24"/>
        </w:rPr>
        <w:t>（一）机关运行经费支出情况</w:t>
      </w:r>
    </w:p>
    <w:p>
      <w:pPr>
        <w:spacing w:beforeLines="0" w:afterLines="0" w:line="600" w:lineRule="exact"/>
        <w:ind w:firstLine="640" w:firstLineChars="200"/>
        <w:rPr>
          <w:rFonts w:hint="default" w:eastAsia="Times New Roman"/>
          <w:sz w:val="32"/>
          <w:szCs w:val="24"/>
        </w:rPr>
      </w:pPr>
      <w:r>
        <w:rPr>
          <w:rFonts w:hint="eastAsia" w:ascii="仿宋_GB2312" w:hAnsi="仿宋_GB2312" w:eastAsia="仿宋_GB2312"/>
          <w:sz w:val="32"/>
          <w:szCs w:val="24"/>
        </w:rPr>
        <w:t>本部门2020年度机关运行经费支出10万元，比2019年减少1.55万元，降低13.42%。主要原因是：控制经费支出。</w:t>
      </w:r>
    </w:p>
    <w:p>
      <w:pPr>
        <w:spacing w:beforeLines="0" w:afterLines="0" w:line="600" w:lineRule="exact"/>
        <w:ind w:firstLine="643" w:firstLineChars="200"/>
        <w:rPr>
          <w:rFonts w:hint="default" w:eastAsia="Times New Roman"/>
          <w:b/>
          <w:sz w:val="32"/>
          <w:szCs w:val="24"/>
        </w:rPr>
      </w:pPr>
      <w:r>
        <w:rPr>
          <w:rFonts w:hint="eastAsia" w:ascii="仿宋_GB2312" w:hAnsi="仿宋_GB2312" w:eastAsia="仿宋_GB2312"/>
          <w:b/>
          <w:sz w:val="32"/>
          <w:szCs w:val="24"/>
        </w:rPr>
        <w:t>（二）政府采购支出情况</w:t>
      </w:r>
    </w:p>
    <w:p>
      <w:pPr>
        <w:spacing w:beforeLines="0" w:afterLines="0" w:line="600" w:lineRule="exact"/>
        <w:ind w:firstLine="640" w:firstLineChars="200"/>
        <w:rPr>
          <w:rFonts w:hint="default" w:eastAsia="Times New Roman"/>
          <w:sz w:val="32"/>
          <w:szCs w:val="24"/>
        </w:rPr>
      </w:pPr>
      <w:r>
        <w:rPr>
          <w:rFonts w:hint="eastAsia" w:ascii="仿宋_GB2312" w:hAnsi="仿宋_GB2312" w:eastAsia="仿宋_GB2312"/>
          <w:sz w:val="32"/>
          <w:szCs w:val="24"/>
        </w:rPr>
        <w:t>本部门2020年度政府采购支出合计0万元，其中：政府采购货物支出0万元</w:t>
      </w:r>
      <w:r>
        <w:rPr>
          <w:rFonts w:hint="default" w:eastAsia="Times New Roman"/>
          <w:sz w:val="32"/>
          <w:szCs w:val="24"/>
        </w:rPr>
        <w:t>,</w:t>
      </w:r>
      <w:r>
        <w:rPr>
          <w:rFonts w:hint="eastAsia" w:ascii="仿宋_GB2312" w:hAnsi="仿宋_GB2312" w:eastAsia="仿宋_GB2312"/>
          <w:sz w:val="32"/>
          <w:szCs w:val="24"/>
        </w:rPr>
        <w:t>比2019年增加0万元，增长0%，主要原因是：本部门无此类支出；政府采购工程支出0万元，比2019年增加0万元，增长0%，主要原因是：本部门无此类支出；政府采购服务支出0万元，比2019年增加0万元，增长0%，主要原因是：本部门无此类支出。授予中小企业合同金额0万元，占政府采购支出总额的0%。其中：授予小微企业合同金额0万元，占政府采购支出总额的0%。</w:t>
      </w:r>
    </w:p>
    <w:p>
      <w:pPr>
        <w:spacing w:beforeLines="0" w:afterLines="0" w:line="600" w:lineRule="exact"/>
        <w:ind w:firstLine="643" w:firstLineChars="200"/>
        <w:rPr>
          <w:rFonts w:hint="default" w:eastAsia="Times New Roman"/>
          <w:b/>
          <w:sz w:val="32"/>
          <w:szCs w:val="24"/>
        </w:rPr>
      </w:pPr>
      <w:r>
        <w:rPr>
          <w:rFonts w:hint="eastAsia" w:ascii="仿宋_GB2312" w:hAnsi="仿宋_GB2312" w:eastAsia="仿宋_GB2312"/>
          <w:b/>
          <w:sz w:val="32"/>
          <w:szCs w:val="24"/>
        </w:rPr>
        <w:t>（三）国有资产占用情况</w:t>
      </w:r>
    </w:p>
    <w:p>
      <w:pPr>
        <w:spacing w:beforeLines="0" w:afterLines="0" w:line="600" w:lineRule="exact"/>
        <w:ind w:firstLine="640" w:firstLineChars="200"/>
        <w:rPr>
          <w:rFonts w:hint="default" w:eastAsia="Times New Roman"/>
          <w:sz w:val="32"/>
          <w:szCs w:val="24"/>
        </w:rPr>
      </w:pPr>
      <w:r>
        <w:rPr>
          <w:rFonts w:hint="eastAsia" w:ascii="仿宋_GB2312" w:hAnsi="仿宋_GB2312" w:eastAsia="仿宋_GB2312"/>
          <w:sz w:val="32"/>
          <w:szCs w:val="24"/>
        </w:rPr>
        <w:t>截至2020年12月31日，本部门共有车辆1辆，其中，副部（省）级及以上领导用车0辆;主要领导干部用车0辆;机要通信用车0辆;应急保障用车0辆;执法执勤用车0辆</w:t>
      </w:r>
      <w:r>
        <w:rPr>
          <w:rFonts w:hint="eastAsia"/>
          <w:sz w:val="32"/>
          <w:szCs w:val="24"/>
        </w:rPr>
        <w:t>；</w:t>
      </w:r>
      <w:r>
        <w:rPr>
          <w:rFonts w:hint="eastAsia" w:ascii="仿宋_GB2312" w:hAnsi="仿宋_GB2312" w:eastAsia="仿宋_GB2312"/>
          <w:sz w:val="32"/>
          <w:szCs w:val="24"/>
        </w:rPr>
        <w:t>特种专业技术用车0辆；离退休干部用车0辆；其他用车1辆，主要是用于下乡视察工作。单位价值50万元以上通用设备0台（套）;单位价值100万元以上专用设备0台（套）。</w:t>
      </w:r>
    </w:p>
    <w:p>
      <w:pPr>
        <w:widowControl w:val="0"/>
        <w:autoSpaceDE w:val="0"/>
        <w:autoSpaceDN w:val="0"/>
        <w:spacing w:beforeLines="0" w:afterLines="0" w:line="580" w:lineRule="exact"/>
        <w:ind w:firstLine="600"/>
        <w:jc w:val="center"/>
        <w:rPr>
          <w:rFonts w:hint="default" w:eastAsia="Times New Roman"/>
          <w:b/>
          <w:sz w:val="32"/>
          <w:szCs w:val="24"/>
        </w:rPr>
      </w:pPr>
      <w:r>
        <w:rPr>
          <w:rFonts w:hint="eastAsia" w:ascii="黑体" w:hAnsi="黑体" w:eastAsia="黑体" w:cs="黑体"/>
          <w:b/>
          <w:sz w:val="32"/>
          <w:szCs w:val="24"/>
        </w:rPr>
        <w:t>第三部分 名词解释</w:t>
      </w:r>
    </w:p>
    <w:p>
      <w:pPr>
        <w:widowControl w:val="0"/>
        <w:autoSpaceDE w:val="0"/>
        <w:autoSpaceDN w:val="0"/>
        <w:spacing w:beforeLines="0" w:afterLines="0" w:line="580" w:lineRule="exact"/>
        <w:ind w:firstLine="600"/>
        <w:rPr>
          <w:rFonts w:hint="eastAsia" w:ascii="仿宋_GB2312" w:hAnsi="仿宋_GB2312" w:eastAsia="仿宋_GB2312"/>
          <w:sz w:val="32"/>
          <w:szCs w:val="24"/>
        </w:rPr>
      </w:pPr>
      <w:r>
        <w:rPr>
          <w:rFonts w:hint="eastAsia" w:ascii="仿宋_GB2312" w:hAnsi="仿宋_GB2312" w:eastAsia="仿宋_GB2312"/>
          <w:sz w:val="32"/>
          <w:szCs w:val="24"/>
        </w:rPr>
        <w:t>（以下为常见专业名词解释目录，仅供参考，部门应根据实际情况进行解释和增减,需要将类级功能科目和经济科目细化解释到项级。）</w:t>
      </w:r>
    </w:p>
    <w:p>
      <w:pPr>
        <w:widowControl w:val="0"/>
        <w:autoSpaceDE w:val="0"/>
        <w:autoSpaceDN w:val="0"/>
        <w:spacing w:beforeLines="0" w:afterLines="0" w:line="580" w:lineRule="exact"/>
        <w:ind w:firstLine="600"/>
        <w:rPr>
          <w:rFonts w:hint="default" w:eastAsia="Times New Roman"/>
          <w:sz w:val="32"/>
          <w:szCs w:val="24"/>
        </w:rPr>
      </w:pPr>
      <w:r>
        <w:rPr>
          <w:rFonts w:hint="eastAsia" w:ascii="仿宋_GB2312" w:hAnsi="仿宋_GB2312" w:eastAsia="仿宋_GB2312"/>
          <w:sz w:val="32"/>
          <w:szCs w:val="24"/>
        </w:rPr>
        <w:t>（一）财政拨款收入：指本年度从本级财政部门取得的财政拨款，包括一般公共预算财政拨款、政府性基金预算财政拨款和国有资本经营预算财政拨款。</w:t>
      </w:r>
    </w:p>
    <w:p>
      <w:pPr>
        <w:widowControl w:val="0"/>
        <w:autoSpaceDE w:val="0"/>
        <w:autoSpaceDN w:val="0"/>
        <w:spacing w:beforeLines="0" w:afterLines="0" w:line="580" w:lineRule="exact"/>
        <w:ind w:firstLine="600"/>
        <w:rPr>
          <w:rFonts w:hint="default" w:eastAsia="Times New Roman"/>
          <w:sz w:val="32"/>
          <w:szCs w:val="24"/>
        </w:rPr>
      </w:pPr>
      <w:r>
        <w:rPr>
          <w:rFonts w:hint="eastAsia" w:ascii="仿宋_GB2312" w:hAnsi="仿宋_GB2312" w:eastAsia="仿宋_GB2312"/>
          <w:sz w:val="32"/>
          <w:szCs w:val="24"/>
        </w:rPr>
        <w:t>（二）事业收入：指事业单位开展专业业务活动及其辅助活动取得的收入；事业单位收到的财政专户实际核拨的教育收费等资金。</w:t>
      </w:r>
    </w:p>
    <w:p>
      <w:pPr>
        <w:widowControl w:val="0"/>
        <w:autoSpaceDE w:val="0"/>
        <w:autoSpaceDN w:val="0"/>
        <w:spacing w:beforeLines="0" w:afterLines="0" w:line="580" w:lineRule="exact"/>
        <w:ind w:firstLine="600"/>
        <w:rPr>
          <w:rFonts w:hint="default" w:eastAsia="Times New Roman"/>
          <w:sz w:val="32"/>
          <w:szCs w:val="24"/>
        </w:rPr>
      </w:pPr>
      <w:r>
        <w:rPr>
          <w:rFonts w:hint="eastAsia" w:ascii="仿宋_GB2312" w:hAnsi="仿宋_GB2312" w:eastAsia="仿宋_GB2312"/>
          <w:sz w:val="32"/>
          <w:szCs w:val="24"/>
        </w:rPr>
        <w:t>（三）经营收入：指事业单位在专业业务活动及其辅助活动之外开展非独立核算经营活动取得的收入。</w:t>
      </w:r>
    </w:p>
    <w:p>
      <w:pPr>
        <w:widowControl w:val="0"/>
        <w:autoSpaceDE w:val="0"/>
        <w:autoSpaceDN w:val="0"/>
        <w:spacing w:beforeLines="0" w:afterLines="0" w:line="580" w:lineRule="exact"/>
        <w:ind w:firstLine="600"/>
        <w:rPr>
          <w:rFonts w:hint="default" w:eastAsia="Times New Roman"/>
          <w:sz w:val="32"/>
          <w:szCs w:val="24"/>
        </w:rPr>
      </w:pPr>
      <w:r>
        <w:rPr>
          <w:rFonts w:hint="eastAsia" w:ascii="仿宋_GB2312" w:hAnsi="仿宋_GB2312" w:eastAsia="仿宋_GB2312"/>
          <w:sz w:val="32"/>
          <w:szCs w:val="24"/>
        </w:rPr>
        <w:t>（四）其他收入：指单位取得的除上述收入以外的各项收入，包括未纳入财政预算的投资收益、银行存款利息收入、租金收入、捐赠收入、事业单位固定资产出租收入等。各单位从本级财政部门以外的同级单位取得的经费、从非本级财政部门取得的经费，以及行政单位收到的财政专户管理资金。</w:t>
      </w:r>
    </w:p>
    <w:p>
      <w:pPr>
        <w:widowControl w:val="0"/>
        <w:autoSpaceDE w:val="0"/>
        <w:autoSpaceDN w:val="0"/>
        <w:spacing w:beforeLines="0" w:afterLines="0" w:line="580" w:lineRule="exact"/>
        <w:ind w:firstLine="600"/>
        <w:rPr>
          <w:rFonts w:hint="default" w:eastAsia="Times New Roman"/>
          <w:sz w:val="32"/>
          <w:szCs w:val="24"/>
        </w:rPr>
      </w:pPr>
      <w:r>
        <w:rPr>
          <w:rFonts w:hint="eastAsia" w:ascii="仿宋_GB2312" w:hAnsi="仿宋_GB2312" w:eastAsia="仿宋_GB2312"/>
          <w:sz w:val="32"/>
          <w:szCs w:val="24"/>
        </w:rPr>
        <w:t>（五）使用非财政拨款结余：指事业单位使用以前年度积累的非财政拨款结余弥补当年收支差额的金额。</w:t>
      </w:r>
    </w:p>
    <w:p>
      <w:pPr>
        <w:widowControl w:val="0"/>
        <w:autoSpaceDE w:val="0"/>
        <w:autoSpaceDN w:val="0"/>
        <w:spacing w:beforeLines="0" w:afterLines="0" w:line="580" w:lineRule="exact"/>
        <w:ind w:firstLine="600"/>
        <w:rPr>
          <w:rFonts w:hint="default" w:eastAsia="Times New Roman"/>
          <w:sz w:val="32"/>
          <w:szCs w:val="24"/>
        </w:rPr>
      </w:pPr>
      <w:r>
        <w:rPr>
          <w:rFonts w:hint="eastAsia" w:ascii="仿宋_GB2312" w:hAnsi="仿宋_GB2312" w:eastAsia="仿宋_GB2312"/>
          <w:sz w:val="32"/>
          <w:szCs w:val="24"/>
        </w:rPr>
        <w:t>（六）年初结转和结余：</w:t>
      </w:r>
      <w:r>
        <w:rPr>
          <w:rFonts w:hint="eastAsia" w:ascii="仿宋_GB2312" w:hAnsi="仿宋_GB2312" w:eastAsia="仿宋_GB2312"/>
          <w:sz w:val="32"/>
          <w:szCs w:val="24"/>
          <w:highlight w:val="white"/>
        </w:rPr>
        <w:t>指以前年度支出预算因客观条件变化未执行完毕、结转到本年度按有关规定继续使用的资金。</w:t>
      </w:r>
    </w:p>
    <w:p>
      <w:pPr>
        <w:widowControl w:val="0"/>
        <w:autoSpaceDE w:val="0"/>
        <w:autoSpaceDN w:val="0"/>
        <w:spacing w:beforeLines="0" w:afterLines="0" w:line="580" w:lineRule="exact"/>
        <w:ind w:firstLine="600"/>
        <w:rPr>
          <w:rFonts w:hint="default" w:eastAsia="Times New Roman"/>
          <w:sz w:val="32"/>
          <w:szCs w:val="24"/>
        </w:rPr>
      </w:pPr>
      <w:r>
        <w:rPr>
          <w:rFonts w:hint="eastAsia" w:ascii="仿宋_GB2312" w:hAnsi="仿宋_GB2312" w:eastAsia="仿宋_GB2312"/>
          <w:sz w:val="32"/>
          <w:szCs w:val="24"/>
        </w:rPr>
        <w:t>（七）结余分配</w:t>
      </w:r>
      <w:r>
        <w:rPr>
          <w:rFonts w:hint="eastAsia" w:ascii="仿宋_GB2312" w:hAnsi="仿宋_GB2312" w:eastAsia="仿宋_GB2312"/>
          <w:sz w:val="32"/>
          <w:szCs w:val="24"/>
          <w:highlight w:val="white"/>
        </w:rPr>
        <w:t>：指事业单位按照会计制度规定缴纳的所得税以及从非财政拨款结余中提取的职工福利基金、事业基金等。</w:t>
      </w:r>
    </w:p>
    <w:p>
      <w:pPr>
        <w:widowControl w:val="0"/>
        <w:autoSpaceDE w:val="0"/>
        <w:autoSpaceDN w:val="0"/>
        <w:spacing w:beforeLines="0" w:afterLines="0" w:line="580" w:lineRule="exact"/>
        <w:ind w:firstLine="600"/>
        <w:rPr>
          <w:rFonts w:hint="default" w:eastAsia="Times New Roman"/>
          <w:sz w:val="32"/>
          <w:szCs w:val="24"/>
        </w:rPr>
      </w:pPr>
      <w:r>
        <w:rPr>
          <w:rFonts w:hint="eastAsia" w:ascii="仿宋_GB2312" w:hAnsi="仿宋_GB2312" w:eastAsia="仿宋_GB2312"/>
          <w:sz w:val="32"/>
          <w:szCs w:val="24"/>
        </w:rPr>
        <w:t>（八）年末结转和结余</w:t>
      </w:r>
      <w:r>
        <w:rPr>
          <w:rFonts w:hint="eastAsia" w:ascii="仿宋_GB2312" w:hAnsi="仿宋_GB2312" w:eastAsia="仿宋_GB2312"/>
          <w:sz w:val="32"/>
          <w:szCs w:val="24"/>
          <w:highlight w:val="white"/>
        </w:rPr>
        <w:t>：指单位本年度或以前年度预算安排、因客观条件发生变化未全部执行或未执行，结转到以后年度继续使用的资金，或项目已完成等产生的结余资金。</w:t>
      </w:r>
    </w:p>
    <w:p>
      <w:pPr>
        <w:widowControl w:val="0"/>
        <w:autoSpaceDE w:val="0"/>
        <w:autoSpaceDN w:val="0"/>
        <w:spacing w:beforeLines="0" w:afterLines="0" w:line="580" w:lineRule="exact"/>
        <w:ind w:firstLine="600"/>
        <w:rPr>
          <w:rFonts w:hint="default" w:eastAsia="Times New Roman"/>
          <w:sz w:val="32"/>
          <w:szCs w:val="24"/>
        </w:rPr>
      </w:pPr>
      <w:r>
        <w:rPr>
          <w:rFonts w:hint="eastAsia" w:ascii="仿宋_GB2312" w:hAnsi="仿宋_GB2312" w:eastAsia="仿宋_GB2312"/>
          <w:sz w:val="32"/>
          <w:szCs w:val="24"/>
        </w:rPr>
        <w:t>（九）基本支出：指为保障机构正常运转、完成日常工作任务而发生的人员经费和公用经费。其中：人员经费指政府收支分类经济科目中的</w:t>
      </w:r>
      <w:r>
        <w:rPr>
          <w:rFonts w:hint="default" w:eastAsia="Times New Roman"/>
          <w:sz w:val="32"/>
          <w:szCs w:val="24"/>
        </w:rPr>
        <w:t>“</w:t>
      </w:r>
      <w:r>
        <w:rPr>
          <w:rFonts w:hint="eastAsia" w:ascii="仿宋_GB2312" w:hAnsi="仿宋_GB2312" w:eastAsia="仿宋_GB2312"/>
          <w:sz w:val="32"/>
          <w:szCs w:val="24"/>
        </w:rPr>
        <w:t>工资福利支出</w:t>
      </w:r>
      <w:r>
        <w:rPr>
          <w:rFonts w:hint="default" w:eastAsia="Times New Roman"/>
          <w:sz w:val="32"/>
          <w:szCs w:val="24"/>
        </w:rPr>
        <w:t>”</w:t>
      </w:r>
      <w:r>
        <w:rPr>
          <w:rFonts w:hint="eastAsia" w:ascii="仿宋_GB2312" w:hAnsi="仿宋_GB2312" w:eastAsia="仿宋_GB2312"/>
          <w:sz w:val="32"/>
          <w:szCs w:val="24"/>
        </w:rPr>
        <w:t>和</w:t>
      </w:r>
      <w:r>
        <w:rPr>
          <w:rFonts w:hint="default" w:eastAsia="Times New Roman"/>
          <w:sz w:val="32"/>
          <w:szCs w:val="24"/>
        </w:rPr>
        <w:t>“</w:t>
      </w:r>
      <w:r>
        <w:rPr>
          <w:rFonts w:hint="eastAsia" w:ascii="仿宋_GB2312" w:hAnsi="仿宋_GB2312" w:eastAsia="仿宋_GB2312"/>
          <w:sz w:val="32"/>
          <w:szCs w:val="24"/>
        </w:rPr>
        <w:t>对个人和家庭的补助</w:t>
      </w:r>
      <w:r>
        <w:rPr>
          <w:rFonts w:hint="default" w:eastAsia="Times New Roman"/>
          <w:sz w:val="32"/>
          <w:szCs w:val="24"/>
        </w:rPr>
        <w:t>”</w:t>
      </w:r>
      <w:r>
        <w:rPr>
          <w:rFonts w:hint="eastAsia" w:ascii="仿宋_GB2312" w:hAnsi="仿宋_GB2312" w:eastAsia="仿宋_GB2312"/>
          <w:sz w:val="32"/>
          <w:szCs w:val="24"/>
        </w:rPr>
        <w:t>；公用经费指政府收支分类经济科目中除</w:t>
      </w:r>
      <w:r>
        <w:rPr>
          <w:rFonts w:hint="default" w:eastAsia="Times New Roman"/>
          <w:sz w:val="32"/>
          <w:szCs w:val="24"/>
        </w:rPr>
        <w:t>“</w:t>
      </w:r>
      <w:r>
        <w:rPr>
          <w:rFonts w:hint="eastAsia" w:ascii="仿宋_GB2312" w:hAnsi="仿宋_GB2312" w:eastAsia="仿宋_GB2312"/>
          <w:sz w:val="32"/>
          <w:szCs w:val="24"/>
        </w:rPr>
        <w:t>工资福利支出</w:t>
      </w:r>
      <w:r>
        <w:rPr>
          <w:rFonts w:hint="default" w:eastAsia="Times New Roman"/>
          <w:sz w:val="32"/>
          <w:szCs w:val="24"/>
        </w:rPr>
        <w:t>”</w:t>
      </w:r>
      <w:r>
        <w:rPr>
          <w:rFonts w:hint="eastAsia" w:ascii="仿宋_GB2312" w:hAnsi="仿宋_GB2312" w:eastAsia="仿宋_GB2312"/>
          <w:sz w:val="32"/>
          <w:szCs w:val="24"/>
        </w:rPr>
        <w:t>和</w:t>
      </w:r>
      <w:r>
        <w:rPr>
          <w:rFonts w:hint="default" w:eastAsia="Times New Roman"/>
          <w:sz w:val="32"/>
          <w:szCs w:val="24"/>
        </w:rPr>
        <w:t>“</w:t>
      </w:r>
      <w:r>
        <w:rPr>
          <w:rFonts w:hint="eastAsia" w:ascii="仿宋_GB2312" w:hAnsi="仿宋_GB2312" w:eastAsia="仿宋_GB2312"/>
          <w:sz w:val="32"/>
          <w:szCs w:val="24"/>
        </w:rPr>
        <w:t>对个人和家庭的补助</w:t>
      </w:r>
      <w:r>
        <w:rPr>
          <w:rFonts w:hint="default" w:eastAsia="Times New Roman"/>
          <w:sz w:val="32"/>
          <w:szCs w:val="24"/>
        </w:rPr>
        <w:t>”</w:t>
      </w:r>
      <w:r>
        <w:rPr>
          <w:rFonts w:hint="eastAsia" w:ascii="仿宋_GB2312" w:hAnsi="仿宋_GB2312" w:eastAsia="仿宋_GB2312"/>
          <w:sz w:val="32"/>
          <w:szCs w:val="24"/>
        </w:rPr>
        <w:t>外的其他支出。</w:t>
      </w:r>
    </w:p>
    <w:p>
      <w:pPr>
        <w:widowControl w:val="0"/>
        <w:autoSpaceDE w:val="0"/>
        <w:autoSpaceDN w:val="0"/>
        <w:spacing w:beforeLines="0" w:afterLines="0" w:line="580" w:lineRule="exact"/>
        <w:ind w:firstLine="600"/>
        <w:rPr>
          <w:rFonts w:hint="default" w:eastAsia="Times New Roman"/>
          <w:sz w:val="32"/>
          <w:szCs w:val="24"/>
        </w:rPr>
      </w:pPr>
      <w:r>
        <w:rPr>
          <w:rFonts w:hint="eastAsia" w:ascii="仿宋_GB2312" w:hAnsi="仿宋_GB2312" w:eastAsia="仿宋_GB2312"/>
          <w:sz w:val="32"/>
          <w:szCs w:val="24"/>
        </w:rPr>
        <w:t>（十）项目支出：指在基本支出之外为完成特定任务和事业发展目标所发生的支出。</w:t>
      </w:r>
    </w:p>
    <w:p>
      <w:pPr>
        <w:widowControl w:val="0"/>
        <w:autoSpaceDE w:val="0"/>
        <w:autoSpaceDN w:val="0"/>
        <w:spacing w:beforeLines="0" w:afterLines="0" w:line="580" w:lineRule="exact"/>
        <w:ind w:firstLine="600"/>
        <w:rPr>
          <w:rFonts w:hint="default" w:eastAsia="Times New Roman"/>
          <w:sz w:val="32"/>
          <w:szCs w:val="24"/>
        </w:rPr>
      </w:pPr>
      <w:r>
        <w:rPr>
          <w:rFonts w:hint="eastAsia" w:ascii="仿宋_GB2312" w:hAnsi="仿宋_GB2312" w:eastAsia="仿宋_GB2312"/>
          <w:sz w:val="32"/>
          <w:szCs w:val="24"/>
        </w:rPr>
        <w:t>（十一）经营支出：指事业单位在专业业务活动及其辅助活动之外开展非独立核算经营活动发生的支出。</w:t>
      </w:r>
    </w:p>
    <w:p>
      <w:pPr>
        <w:widowControl w:val="0"/>
        <w:autoSpaceDE w:val="0"/>
        <w:autoSpaceDN w:val="0"/>
        <w:spacing w:beforeLines="0" w:afterLines="0" w:line="580" w:lineRule="exact"/>
        <w:ind w:firstLine="600"/>
        <w:rPr>
          <w:rFonts w:hint="default" w:eastAsia="Times New Roman"/>
          <w:sz w:val="32"/>
          <w:szCs w:val="24"/>
        </w:rPr>
      </w:pPr>
      <w:r>
        <w:rPr>
          <w:rFonts w:hint="eastAsia" w:ascii="仿宋_GB2312" w:hAnsi="仿宋_GB2312" w:eastAsia="仿宋_GB2312"/>
          <w:sz w:val="32"/>
          <w:szCs w:val="24"/>
        </w:rPr>
        <w:t>（十二）</w:t>
      </w:r>
      <w:r>
        <w:rPr>
          <w:rFonts w:hint="default" w:eastAsia="Times New Roman"/>
          <w:sz w:val="32"/>
          <w:szCs w:val="24"/>
        </w:rPr>
        <w:t>“</w:t>
      </w:r>
      <w:r>
        <w:rPr>
          <w:rFonts w:hint="eastAsia" w:ascii="仿宋_GB2312" w:hAnsi="仿宋_GB2312" w:eastAsia="仿宋_GB2312"/>
          <w:sz w:val="32"/>
          <w:szCs w:val="24"/>
        </w:rPr>
        <w:t>三公</w:t>
      </w:r>
      <w:r>
        <w:rPr>
          <w:rFonts w:hint="default" w:eastAsia="Times New Roman"/>
          <w:sz w:val="32"/>
          <w:szCs w:val="24"/>
        </w:rPr>
        <w:t>”</w:t>
      </w:r>
      <w:r>
        <w:rPr>
          <w:rFonts w:hint="eastAsia" w:ascii="仿宋_GB2312" w:hAnsi="仿宋_GB2312" w:eastAsia="仿宋_GB2312"/>
          <w:sz w:val="32"/>
          <w:szCs w:val="24"/>
        </w:rPr>
        <w:t>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val="0"/>
        <w:autoSpaceDE w:val="0"/>
        <w:autoSpaceDN w:val="0"/>
        <w:spacing w:beforeLines="0" w:afterLines="0" w:line="580" w:lineRule="exact"/>
        <w:ind w:firstLine="600"/>
        <w:rPr>
          <w:rFonts w:hint="default" w:eastAsia="Times New Roman"/>
          <w:sz w:val="32"/>
          <w:szCs w:val="24"/>
        </w:rPr>
      </w:pPr>
      <w:r>
        <w:rPr>
          <w:rFonts w:hint="eastAsia" w:ascii="仿宋_GB2312" w:hAnsi="仿宋_GB2312" w:eastAsia="仿宋_GB2312"/>
          <w:sz w:val="32"/>
          <w:szCs w:val="24"/>
        </w:rPr>
        <w:t>（十三）机关运行经费：指行政单位和参照公务员法管理的事业单位使用一般公共预算财政拨款安排的基本支出中的日常公用经费支出。未包含行政单位或参照公务员法管理事业单位的部门，参照此口径公开本部门的日常公用经费，并与预算公开保持一致。</w:t>
      </w:r>
    </w:p>
    <w:p>
      <w:pPr>
        <w:widowControl w:val="0"/>
        <w:autoSpaceDE w:val="0"/>
        <w:autoSpaceDN w:val="0"/>
        <w:spacing w:beforeLines="0" w:afterLines="0" w:line="580" w:lineRule="exact"/>
        <w:ind w:firstLine="600"/>
        <w:rPr>
          <w:rFonts w:hint="default" w:eastAsia="Times New Roman"/>
          <w:sz w:val="32"/>
          <w:szCs w:val="24"/>
        </w:rPr>
      </w:pPr>
      <w:r>
        <w:rPr>
          <w:rFonts w:hint="eastAsia" w:ascii="仿宋_GB2312" w:hAnsi="仿宋_GB2312" w:eastAsia="仿宋_GB2312"/>
          <w:sz w:val="32"/>
          <w:szCs w:val="24"/>
        </w:rPr>
        <w:t>（十四）工资福利支出（支出经济分类科目类级）：反映单位开支的在职职工和编制外长期聘用人员的各类劳动报酬，以及为上述人员缴纳的各项社会保险费等。</w:t>
      </w:r>
    </w:p>
    <w:p>
      <w:pPr>
        <w:widowControl w:val="0"/>
        <w:autoSpaceDE w:val="0"/>
        <w:autoSpaceDN w:val="0"/>
        <w:spacing w:beforeLines="0" w:afterLines="0" w:line="580" w:lineRule="exact"/>
        <w:ind w:firstLine="600"/>
        <w:rPr>
          <w:rFonts w:hint="default" w:eastAsia="Times New Roman"/>
          <w:sz w:val="32"/>
          <w:szCs w:val="24"/>
        </w:rPr>
      </w:pPr>
      <w:r>
        <w:rPr>
          <w:rFonts w:hint="eastAsia" w:ascii="仿宋_GB2312" w:hAnsi="仿宋_GB2312" w:eastAsia="仿宋_GB2312"/>
          <w:sz w:val="32"/>
          <w:szCs w:val="24"/>
        </w:rPr>
        <w:t>（十五）商品和服务支出（支出经济分类科目类级）：反映单位购买商品和服务的支出（不包括用于购置固定资产的支出、战略性和应急储备支出）。</w:t>
      </w:r>
    </w:p>
    <w:p>
      <w:pPr>
        <w:widowControl w:val="0"/>
        <w:autoSpaceDE w:val="0"/>
        <w:autoSpaceDN w:val="0"/>
        <w:spacing w:beforeLines="0" w:afterLines="0" w:line="580" w:lineRule="exact"/>
        <w:ind w:firstLine="600"/>
        <w:rPr>
          <w:rFonts w:hint="default" w:eastAsia="Times New Roman"/>
          <w:sz w:val="32"/>
          <w:szCs w:val="24"/>
        </w:rPr>
      </w:pPr>
      <w:r>
        <w:rPr>
          <w:rFonts w:hint="eastAsia" w:ascii="仿宋_GB2312" w:hAnsi="仿宋_GB2312" w:eastAsia="仿宋_GB2312"/>
          <w:sz w:val="32"/>
          <w:szCs w:val="24"/>
        </w:rPr>
        <w:t>（十六）对个人和家庭的补助（支出经济分类科目类级）：反映用于对个人和家庭的补助支出。</w:t>
      </w:r>
    </w:p>
    <w:p>
      <w:pPr>
        <w:widowControl w:val="0"/>
        <w:autoSpaceDE w:val="0"/>
        <w:autoSpaceDN w:val="0"/>
        <w:spacing w:beforeLines="0" w:afterLines="0" w:line="580" w:lineRule="exact"/>
        <w:ind w:firstLine="600"/>
        <w:rPr>
          <w:rFonts w:hint="default" w:eastAsia="Times New Roman"/>
          <w:sz w:val="32"/>
          <w:szCs w:val="24"/>
        </w:rPr>
      </w:pPr>
      <w:r>
        <w:rPr>
          <w:rFonts w:hint="eastAsia" w:ascii="仿宋_GB2312" w:hAnsi="仿宋_GB2312" w:eastAsia="仿宋_GB2312"/>
          <w:sz w:val="32"/>
          <w:szCs w:val="24"/>
        </w:rPr>
        <w:t>（十七）资本性支出（支出经济分类科目类级）：反映非各级发展与改革部门集中安排的用于购置固定资产、战略性和应急性储备、土地和无形资产，以及构建基础设施、大型修缮和财政支持企业更新改造所发生的支出。</w:t>
      </w:r>
    </w:p>
    <w:p>
      <w:pPr>
        <w:widowControl w:val="0"/>
        <w:autoSpaceDE w:val="0"/>
        <w:autoSpaceDN w:val="0"/>
        <w:spacing w:beforeLines="0" w:afterLines="0" w:line="580" w:lineRule="exact"/>
        <w:ind w:firstLine="600"/>
        <w:rPr>
          <w:rFonts w:hint="default" w:eastAsia="Times New Roman"/>
          <w:b/>
          <w:sz w:val="32"/>
          <w:szCs w:val="24"/>
        </w:rPr>
      </w:pPr>
      <w:r>
        <w:rPr>
          <w:rFonts w:hint="eastAsia" w:ascii="仿宋_GB2312" w:hAnsi="仿宋_GB2312" w:eastAsia="仿宋_GB2312"/>
          <w:b/>
          <w:sz w:val="32"/>
          <w:szCs w:val="24"/>
        </w:rPr>
        <w:t>第四部分 决算公开联系方式及信息反馈渠道</w:t>
      </w:r>
    </w:p>
    <w:p>
      <w:pPr>
        <w:widowControl w:val="0"/>
        <w:autoSpaceDE w:val="0"/>
        <w:autoSpaceDN w:val="0"/>
        <w:spacing w:beforeLines="0" w:afterLines="0" w:line="580" w:lineRule="exact"/>
        <w:ind w:firstLine="600"/>
        <w:rPr>
          <w:rFonts w:hint="default" w:eastAsia="Times New Roman"/>
          <w:sz w:val="32"/>
          <w:szCs w:val="24"/>
        </w:rPr>
      </w:pPr>
      <w:r>
        <w:rPr>
          <w:rFonts w:hint="eastAsia" w:ascii="仿宋_GB2312" w:hAnsi="仿宋_GB2312" w:eastAsia="仿宋_GB2312"/>
          <w:sz w:val="32"/>
          <w:szCs w:val="24"/>
        </w:rPr>
        <w:t>本单位决算公开信息反馈和联系方式：</w:t>
      </w:r>
    </w:p>
    <w:p>
      <w:r>
        <w:rPr>
          <w:rFonts w:hint="eastAsia" w:ascii="仿宋_GB2312" w:hAnsi="仿宋_GB2312" w:eastAsia="仿宋_GB2312"/>
          <w:sz w:val="32"/>
          <w:szCs w:val="24"/>
        </w:rPr>
        <w:t>联系人：柏树君    联系电话：0475</w:t>
      </w:r>
      <w:r>
        <w:rPr>
          <w:rFonts w:hint="default" w:eastAsia="Times New Roman"/>
          <w:sz w:val="32"/>
          <w:szCs w:val="24"/>
        </w:rPr>
        <w:t>-</w:t>
      </w:r>
      <w:r>
        <w:rPr>
          <w:rFonts w:hint="eastAsia" w:ascii="仿宋_GB2312" w:hAnsi="仿宋_GB2312" w:eastAsia="仿宋_GB2312"/>
          <w:sz w:val="32"/>
          <w:szCs w:val="24"/>
        </w:rPr>
        <w:t>4222699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3F07F"/>
    <w:multiLevelType w:val="multilevel"/>
    <w:tmpl w:val="0003F07F"/>
    <w:lvl w:ilvl="0" w:tentative="0">
      <w:start w:val="1"/>
      <w:numFmt w:val="decimal"/>
      <w:suff w:val="nothing"/>
      <w:lvlText w:val="%1."/>
      <w:lvlJc w:val="left"/>
      <w:rPr>
        <w:rFonts w:hint="default" w:ascii="Times New Roman" w:hAnsi="Times New Roman" w:eastAsia="宋体"/>
        <w:u w:val="none" w:color="auto"/>
      </w:rPr>
    </w:lvl>
    <w:lvl w:ilvl="1" w:tentative="0">
      <w:start w:val="1"/>
      <w:numFmt w:val="decimal"/>
      <w:lvlText w:val=""/>
      <w:lvlJc w:val="left"/>
      <w:rPr>
        <w:rFonts w:hint="default" w:ascii="Times New Roman" w:hAnsi="Times New Roman" w:eastAsia="宋体"/>
        <w:u w:val="none" w:color="auto"/>
      </w:rPr>
    </w:lvl>
    <w:lvl w:ilvl="2" w:tentative="0">
      <w:start w:val="1"/>
      <w:numFmt w:val="decimal"/>
      <w:lvlText w:val=""/>
      <w:lvlJc w:val="left"/>
      <w:rPr>
        <w:rFonts w:hint="default" w:ascii="Times New Roman" w:hAnsi="Times New Roman" w:eastAsia="宋体"/>
        <w:u w:val="none" w:color="auto"/>
      </w:rPr>
    </w:lvl>
    <w:lvl w:ilvl="3" w:tentative="0">
      <w:start w:val="1"/>
      <w:numFmt w:val="decimal"/>
      <w:lvlText w:val=""/>
      <w:lvlJc w:val="left"/>
      <w:rPr>
        <w:rFonts w:hint="default" w:ascii="Times New Roman" w:hAnsi="Times New Roman" w:eastAsia="宋体"/>
        <w:u w:val="none" w:color="auto"/>
      </w:rPr>
    </w:lvl>
    <w:lvl w:ilvl="4" w:tentative="0">
      <w:start w:val="1"/>
      <w:numFmt w:val="decimal"/>
      <w:lvlText w:val=""/>
      <w:lvlJc w:val="left"/>
      <w:rPr>
        <w:rFonts w:hint="default" w:ascii="Times New Roman" w:hAnsi="Times New Roman" w:eastAsia="宋体"/>
        <w:u w:val="none" w:color="auto"/>
      </w:rPr>
    </w:lvl>
    <w:lvl w:ilvl="5" w:tentative="0">
      <w:start w:val="1"/>
      <w:numFmt w:val="decimal"/>
      <w:lvlText w:val=""/>
      <w:lvlJc w:val="left"/>
      <w:rPr>
        <w:rFonts w:hint="default" w:ascii="Times New Roman" w:hAnsi="Times New Roman" w:eastAsia="宋体"/>
        <w:u w:val="none" w:color="auto"/>
      </w:rPr>
    </w:lvl>
    <w:lvl w:ilvl="6" w:tentative="0">
      <w:start w:val="1"/>
      <w:numFmt w:val="decimal"/>
      <w:lvlText w:val=""/>
      <w:lvlJc w:val="left"/>
      <w:rPr>
        <w:rFonts w:hint="default" w:ascii="Times New Roman" w:hAnsi="Times New Roman" w:eastAsia="宋体"/>
        <w:u w:val="none" w:color="auto"/>
      </w:rPr>
    </w:lvl>
    <w:lvl w:ilvl="7" w:tentative="0">
      <w:start w:val="1"/>
      <w:numFmt w:val="decimal"/>
      <w:lvlText w:val=""/>
      <w:lvlJc w:val="left"/>
      <w:rPr>
        <w:rFonts w:hint="default" w:ascii="Times New Roman" w:hAnsi="Times New Roman" w:eastAsia="宋体"/>
        <w:u w:val="none" w:color="auto"/>
      </w:rPr>
    </w:lvl>
    <w:lvl w:ilvl="8" w:tentative="0">
      <w:start w:val="1"/>
      <w:numFmt w:val="decimal"/>
      <w:lvlText w:val=""/>
      <w:lvlJc w:val="left"/>
      <w:rPr>
        <w:rFonts w:hint="default" w:ascii="Times New Roman" w:hAnsi="Times New Roman" w:eastAsia="宋体"/>
        <w:u w:val="none" w:color="auto"/>
      </w:rPr>
    </w:lvl>
  </w:abstractNum>
  <w:abstractNum w:abstractNumId="1">
    <w:nsid w:val="0003F089"/>
    <w:multiLevelType w:val="multilevel"/>
    <w:tmpl w:val="0003F089"/>
    <w:lvl w:ilvl="0" w:tentative="0">
      <w:start w:val="2"/>
      <w:numFmt w:val="chineseCounting"/>
      <w:suff w:val="nothing"/>
      <w:lvlText w:val="%1、"/>
      <w:lvlJc w:val="left"/>
      <w:rPr>
        <w:rFonts w:hint="default" w:ascii="Times New Roman" w:hAnsi="Times New Roman" w:eastAsia="宋体"/>
        <w:u w:val="none" w:color="auto"/>
      </w:rPr>
    </w:lvl>
    <w:lvl w:ilvl="1" w:tentative="0">
      <w:start w:val="1"/>
      <w:numFmt w:val="decimal"/>
      <w:lvlText w:val=""/>
      <w:lvlJc w:val="left"/>
      <w:rPr>
        <w:rFonts w:hint="default" w:ascii="Times New Roman" w:hAnsi="Times New Roman" w:eastAsia="宋体"/>
        <w:u w:val="none" w:color="auto"/>
      </w:rPr>
    </w:lvl>
    <w:lvl w:ilvl="2" w:tentative="0">
      <w:start w:val="1"/>
      <w:numFmt w:val="decimal"/>
      <w:lvlText w:val=""/>
      <w:lvlJc w:val="left"/>
      <w:rPr>
        <w:rFonts w:hint="default" w:ascii="Times New Roman" w:hAnsi="Times New Roman" w:eastAsia="宋体"/>
        <w:u w:val="none" w:color="auto"/>
      </w:rPr>
    </w:lvl>
    <w:lvl w:ilvl="3" w:tentative="0">
      <w:start w:val="1"/>
      <w:numFmt w:val="decimal"/>
      <w:lvlText w:val=""/>
      <w:lvlJc w:val="left"/>
      <w:rPr>
        <w:rFonts w:hint="default" w:ascii="Times New Roman" w:hAnsi="Times New Roman" w:eastAsia="宋体"/>
        <w:u w:val="none" w:color="auto"/>
      </w:rPr>
    </w:lvl>
    <w:lvl w:ilvl="4" w:tentative="0">
      <w:start w:val="1"/>
      <w:numFmt w:val="decimal"/>
      <w:lvlText w:val=""/>
      <w:lvlJc w:val="left"/>
      <w:rPr>
        <w:rFonts w:hint="default" w:ascii="Times New Roman" w:hAnsi="Times New Roman" w:eastAsia="宋体"/>
        <w:u w:val="none" w:color="auto"/>
      </w:rPr>
    </w:lvl>
    <w:lvl w:ilvl="5" w:tentative="0">
      <w:start w:val="1"/>
      <w:numFmt w:val="decimal"/>
      <w:lvlText w:val=""/>
      <w:lvlJc w:val="left"/>
      <w:rPr>
        <w:rFonts w:hint="default" w:ascii="Times New Roman" w:hAnsi="Times New Roman" w:eastAsia="宋体"/>
        <w:u w:val="none" w:color="auto"/>
      </w:rPr>
    </w:lvl>
    <w:lvl w:ilvl="6" w:tentative="0">
      <w:start w:val="1"/>
      <w:numFmt w:val="decimal"/>
      <w:lvlText w:val=""/>
      <w:lvlJc w:val="left"/>
      <w:rPr>
        <w:rFonts w:hint="default" w:ascii="Times New Roman" w:hAnsi="Times New Roman" w:eastAsia="宋体"/>
        <w:u w:val="none" w:color="auto"/>
      </w:rPr>
    </w:lvl>
    <w:lvl w:ilvl="7" w:tentative="0">
      <w:start w:val="1"/>
      <w:numFmt w:val="decimal"/>
      <w:lvlText w:val=""/>
      <w:lvlJc w:val="left"/>
      <w:rPr>
        <w:rFonts w:hint="default" w:ascii="Times New Roman" w:hAnsi="Times New Roman" w:eastAsia="宋体"/>
        <w:u w:val="none" w:color="auto"/>
      </w:rPr>
    </w:lvl>
    <w:lvl w:ilvl="8" w:tentative="0">
      <w:start w:val="1"/>
      <w:numFmt w:val="decimal"/>
      <w:lvlText w:val=""/>
      <w:lvlJc w:val="left"/>
      <w:rPr>
        <w:rFonts w:hint="default" w:ascii="Times New Roman" w:hAnsi="Times New Roman" w:eastAsia="宋体"/>
        <w:u w:val="none" w:color="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6F6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99"/>
    <w:pPr>
      <w:spacing w:beforeLines="0" w:afterLines="0"/>
      <w:jc w:val="both"/>
    </w:pPr>
    <w:rPr>
      <w:rFonts w:hint="eastAsia" w:ascii="Times New Roman" w:hAnsi="Times New Roman" w:eastAsia="宋体" w:cs="Times New Roman"/>
      <w:kern w:val="2"/>
      <w:sz w:val="21"/>
      <w:szCs w:val="24"/>
      <w:lang w:val="en-US" w:eastAsia="zh-CN"/>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2021-11-11T08:08:25Z</dcterms:created>
  <dc:creator>Administrator</dc:creator>
  <cp:lastModifiedBy>Administrator</cp:lastModifiedBy>
  <dcterms:modified xsi:type="dcterms:W3CDTF">2021-11-11T08:10:49Z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EC40EFBDB4E741C29ABA9260965C8D68</vt:lpwstr>
  </property>
</Properties>
</file>