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奈曼旗合作交流中心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召开党风廉政和反腐败工作会议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3月30日，旗合作交流中心召开党风廉政建设和反腐败工作会议。会上学习了《中国共产党第十九届中央纪律检查委员会第六次全体会议公报》，研究制定2022年党风廉政建设和反腐败工作要点及分工。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李国术主任强调，要加强学习，不断提升对党风廉政建设和反腐败工作的认识；二是严格执行制度，用纪律约束业务工作；强化日常监督，班子成员与干部群众互相监督，共同做好党风廉政建设工作。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557270"/>
            <wp:effectExtent l="0" t="0" r="3810" b="5080"/>
            <wp:docPr id="1" name="图片 1" descr="62c49c88c484460645c1a613b1b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c49c88c484460645c1a613b1b18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2022-03-30T09:10:55Z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B7D77D36863C4F5A9DE926A39AFB9173</vt:lpwstr>
  </property>
</Properties>
</file>