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  <w:t>希望社区庆祝“三八”节活动方案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三八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妇女节是全体女性同胞的共同节日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为了增强社区女性同胞的幸福感，促进妇女同胞的身心健康，社区决定于3月8日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午举行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强国复兴有我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彰显巾帼担当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”暨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希望社区庆祝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三八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妇女节活动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一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点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希望社区三楼会议室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二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时间：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2022年3月8日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三活动内容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cstheme="minorEastAsia"/>
          <w:sz w:val="32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妇女健康知识宣传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以妇女身心健康常识，两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常识预防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等为主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妇女权益政策法规宣传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：以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妇女权益保护法相关法规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民法典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》等为主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社区退休党员为妇女同胞进行健康讲座。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824B8"/>
    <w:multiLevelType w:val="singleLevel"/>
    <w:tmpl w:val="EA8824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2022-02-28T02:21:38Z</dcterms:created>
  <dc:creator>lenovo</dc:creator>
  <cp:lastModifiedBy>lenovo</cp:lastModifiedBy>
  <dcterms:modified xsi:type="dcterms:W3CDTF">2022-02-28T02:31:30Z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893F6DA9788D4543A99F0AB211AABA69</vt:lpwstr>
  </property>
</Properties>
</file>