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eastAsia="zh-CN"/>
        </w:rPr>
      </w:pPr>
    </w:p>
    <w:p>
      <w:pPr>
        <w:jc w:val="center"/>
        <w:rPr>
          <w:rFonts w:hint="eastAsia" w:ascii="黑体" w:hAnsi="黑体" w:eastAsia="黑体" w:cs="黑体"/>
          <w:sz w:val="36"/>
          <w:szCs w:val="36"/>
          <w:lang w:eastAsia="zh-CN"/>
        </w:rPr>
      </w:pPr>
    </w:p>
    <w:p>
      <w:pPr>
        <w:jc w:val="center"/>
        <w:rPr>
          <w:rFonts w:hint="eastAsia" w:ascii="黑体" w:hAnsi="黑体" w:eastAsia="黑体" w:cs="黑体"/>
          <w:sz w:val="36"/>
          <w:szCs w:val="36"/>
          <w:lang w:eastAsia="zh-CN"/>
        </w:rPr>
      </w:pPr>
    </w:p>
    <w:p>
      <w:pPr>
        <w:jc w:val="center"/>
        <w:rPr>
          <w:rFonts w:hint="eastAsia" w:ascii="黑体" w:hAnsi="黑体" w:eastAsia="黑体" w:cs="黑体"/>
          <w:sz w:val="36"/>
          <w:szCs w:val="36"/>
          <w:lang w:eastAsia="zh-CN"/>
        </w:rPr>
      </w:pPr>
    </w:p>
    <w:p>
      <w:pPr>
        <w:jc w:val="center"/>
        <w:rPr>
          <w:rFonts w:hint="eastAsia" w:ascii="黑体" w:hAnsi="黑体" w:eastAsia="黑体" w:cs="黑体"/>
          <w:sz w:val="36"/>
          <w:szCs w:val="36"/>
          <w:lang w:eastAsia="zh-CN"/>
        </w:rPr>
      </w:pPr>
    </w:p>
    <w:p>
      <w:pPr>
        <w:jc w:val="center"/>
        <w:rPr>
          <w:rFonts w:hint="eastAsia" w:ascii="黑体" w:hAnsi="黑体" w:eastAsia="黑体" w:cs="黑体"/>
          <w:sz w:val="36"/>
          <w:szCs w:val="36"/>
          <w:lang w:eastAsia="zh-CN"/>
        </w:rPr>
      </w:pPr>
    </w:p>
    <w:p>
      <w:pPr>
        <w:jc w:val="center"/>
        <w:rPr>
          <w:rFonts w:hint="eastAsia" w:ascii="黑体" w:hAnsi="黑体" w:eastAsia="黑体" w:cs="黑体"/>
          <w:sz w:val="36"/>
          <w:szCs w:val="36"/>
          <w:lang w:eastAsia="zh-CN"/>
        </w:rPr>
      </w:pPr>
    </w:p>
    <w:p>
      <w:pPr>
        <w:jc w:val="center"/>
        <w:rPr>
          <w:rFonts w:hint="eastAsia" w:ascii="黑体" w:hAnsi="黑体" w:eastAsia="黑体" w:cs="黑体"/>
          <w:sz w:val="36"/>
          <w:szCs w:val="36"/>
          <w:lang w:eastAsia="zh-CN"/>
        </w:rPr>
      </w:pPr>
    </w:p>
    <w:p>
      <w:pPr>
        <w:jc w:val="center"/>
        <w:rPr>
          <w:rFonts w:hint="eastAsia" w:ascii="黑体" w:hAnsi="黑体" w:eastAsia="黑体" w:cs="黑体"/>
          <w:sz w:val="36"/>
          <w:szCs w:val="36"/>
          <w:lang w:eastAsia="zh-CN"/>
        </w:rPr>
      </w:pPr>
    </w:p>
    <w:p>
      <w:pPr>
        <w:jc w:val="center"/>
        <w:rPr>
          <w:rFonts w:hint="eastAsia" w:ascii="黑体" w:hAnsi="黑体" w:eastAsia="黑体" w:cs="黑体"/>
          <w:sz w:val="36"/>
          <w:szCs w:val="36"/>
          <w:lang w:eastAsia="zh-CN"/>
        </w:rPr>
      </w:pPr>
    </w:p>
    <w:p>
      <w:pPr>
        <w:jc w:val="center"/>
        <w:rPr>
          <w:rFonts w:hint="eastAsia" w:ascii="黑体" w:hAnsi="黑体" w:eastAsia="黑体" w:cs="黑体"/>
          <w:sz w:val="36"/>
          <w:szCs w:val="36"/>
          <w:lang w:eastAsia="zh-CN"/>
        </w:rPr>
      </w:pPr>
    </w:p>
    <w:p>
      <w:pPr>
        <w:jc w:val="center"/>
        <w:rPr>
          <w:rFonts w:hint="eastAsia" w:ascii="黑体" w:hAnsi="黑体" w:eastAsia="黑体" w:cs="黑体"/>
          <w:sz w:val="44"/>
          <w:szCs w:val="44"/>
          <w:lang w:val="en-US" w:eastAsia="zh-CN"/>
        </w:rPr>
      </w:pPr>
      <w:bookmarkStart w:id="0" w:name="_GoBack"/>
      <w:r>
        <w:rPr>
          <w:rFonts w:hint="eastAsia" w:ascii="黑体" w:hAnsi="黑体" w:eastAsia="黑体" w:cs="黑体"/>
          <w:sz w:val="44"/>
          <w:szCs w:val="44"/>
          <w:lang w:eastAsia="zh-CN"/>
        </w:rPr>
        <w:t>奈曼旗药材研究发展中心党组</w:t>
      </w:r>
      <w:r>
        <w:rPr>
          <w:rFonts w:hint="eastAsia" w:ascii="黑体" w:hAnsi="黑体" w:eastAsia="黑体" w:cs="黑体"/>
          <w:sz w:val="44"/>
          <w:szCs w:val="44"/>
          <w:lang w:val="en-US" w:eastAsia="zh-CN"/>
        </w:rPr>
        <w:t>2022年</w:t>
      </w: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党风廉政建设和反腐败工作实施方案</w:t>
      </w:r>
    </w:p>
    <w:bookmarkEnd w:id="0"/>
    <w:p>
      <w:pPr>
        <w:jc w:val="center"/>
        <w:rPr>
          <w:rFonts w:hint="eastAsia" w:ascii="黑体" w:hAnsi="黑体" w:eastAsia="黑体" w:cs="黑体"/>
          <w:sz w:val="36"/>
          <w:szCs w:val="36"/>
          <w:lang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推进中心党组党风廉政建设和反腐败工作，切实强化中心党组主体责任落实，将旗委监委有关党风廉政建设和发腐败工作部署落实到实处，结合我中心工作实际，特制定《奈曼旗药材研究发展中心2022年度党风廉政建设和反腐败工作实施方案》。</w:t>
      </w:r>
    </w:p>
    <w:p>
      <w:p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一、指导思想和目标要求</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党的十九大、十九届六中全会会议精神为指导，深入学习贯彻习近平总书记新时代中国特色社会主义思想和习近平总书记重要讲话、对内蒙古的重要指示批示精神，扎实推进全面从严治党体系建设，准确把握从严治党地基本内涵和具体要求，促进中心党组、党组书记和领导班子成员认真履行职责，贯彻落实好旗委关于全面从严治党的决策部署。坚持把厘清党组织领导班子责任、主要负责人责任、领导班子成员责任作为落实党组织主体责任的重点，完善相关制度，健全工作机制，形成认识到位、责任明晰、履职尽责的主体责任落实体系；突出纪检监督主责主业，形成制约有力、有效的监督责任落实体系；以推进“两个责任”落实为重点，健全完善考核、追责体系，通过努力，实现两个责任良性互动、共同发力，为中心党建、业务工作的发展提供政治组织保障。</w:t>
      </w:r>
    </w:p>
    <w:p>
      <w:p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二、加强组织领导</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成立奈曼旗药材研究发展中心党风廉政建设责任制工作领导小组，领导、组织、协调开展党风廉政建设和反腐败工作，督促、指导、考核责任制落实情况。</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长：王凌飞</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副组长：李小军</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员：王永臣</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张园园</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陈金生</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杨楠</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晶晶</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领导小组下设办公室，由王永臣同志负责。</w:t>
      </w:r>
    </w:p>
    <w:p>
      <w:p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三、工作内容</w:t>
      </w:r>
    </w:p>
    <w:p>
      <w:pPr>
        <w:ind w:firstLine="64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（一）抓好党风廉政建设和反腐败工作的动员部署和落实工作。</w:t>
      </w:r>
    </w:p>
    <w:p>
      <w:pPr>
        <w:ind w:firstLine="64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sz w:val="32"/>
          <w:szCs w:val="32"/>
          <w:lang w:val="en-US" w:eastAsia="zh-CN"/>
        </w:rPr>
        <w:t>健全领导体制机制和工作机制，及时调整党风廉政建设领导小组、研究制定党风廉政建设和反腐败工作计划，明确目标要求和具体措施、并对工作任务进行分解，明确领导班子、领导干部职责和任务分工；研究制定本年度党组主体责任清单、党组书记第一责任人清单，班子成员“一岗双责”责任清单，及时部署中心党风廉政建设和反腐败工作。</w:t>
      </w:r>
    </w:p>
    <w:p>
      <w:pPr>
        <w:ind w:firstLine="64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sz w:val="32"/>
          <w:szCs w:val="32"/>
          <w:lang w:val="en-US" w:eastAsia="zh-CN"/>
        </w:rPr>
        <w:t>强化落实，推进党风廉政建设和反腐败工作全面开展。党组书记在年初要对中心党风廉政建设工作作出安排部署。分管领导要落实“一岗双责”，认真组织开展岗位廉政风险点查找工作，党组书记与各部门签订责任书，区分好责任任务，并要跟踪做好督促检查、考核落实工作。</w:t>
      </w:r>
    </w:p>
    <w:p>
      <w:pPr>
        <w:ind w:firstLine="64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sz w:val="32"/>
          <w:szCs w:val="32"/>
          <w:lang w:val="en-US" w:eastAsia="zh-CN"/>
        </w:rPr>
        <w:t>强化党风廉政建设责任制考核，自觉接受上级纪委“两个责任”和“三务公开”督导工作，积极配合组织部门和纪委监委将履行主体责任情况纳入领导班子和领导干部实绩考核内容，认真做好考核指标的登记统计。</w:t>
      </w:r>
    </w:p>
    <w:p>
      <w:pPr>
        <w:ind w:firstLine="64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（二）持续深化巩固扩大作风建设成果</w:t>
      </w:r>
    </w:p>
    <w:p>
      <w:pPr>
        <w:ind w:firstLine="64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w:t>
      </w:r>
      <w:r>
        <w:rPr>
          <w:rFonts w:hint="eastAsia" w:ascii="仿宋" w:hAnsi="仿宋" w:eastAsia="仿宋" w:cs="仿宋"/>
          <w:sz w:val="32"/>
          <w:szCs w:val="32"/>
          <w:lang w:val="en-US" w:eastAsia="zh-CN"/>
        </w:rPr>
        <w:t>持续深化作风建设，持之以恒纠正“四风”，建立健全作风建设常态化机制，整治形式主义官僚主义“十种表现”，全年对中心督查至少2次。</w:t>
      </w:r>
    </w:p>
    <w:p>
      <w:pPr>
        <w:ind w:firstLine="64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（三）坚持把纪律建设摆在更加突出的位置</w:t>
      </w:r>
    </w:p>
    <w:p>
      <w:pPr>
        <w:ind w:firstLine="64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w:t>
      </w:r>
      <w:r>
        <w:rPr>
          <w:rFonts w:hint="eastAsia" w:ascii="仿宋" w:hAnsi="仿宋" w:eastAsia="仿宋" w:cs="仿宋"/>
          <w:sz w:val="32"/>
          <w:szCs w:val="32"/>
          <w:lang w:val="en-US" w:eastAsia="zh-CN"/>
        </w:rPr>
        <w:t>加强全面从严治党形式任务和党规党纪教育，把党风廉政建设和反腐败宣传教育工作纳入中心工作总体部署和工作安排。切实加强廉政宣传教育，拓展宣传途径和手段，开展常态化警示教育，年内组织党员干部参加警示教育活动至少1次。</w:t>
      </w:r>
    </w:p>
    <w:p>
      <w:pPr>
        <w:ind w:firstLine="64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sz w:val="32"/>
          <w:szCs w:val="32"/>
          <w:lang w:val="en-US" w:eastAsia="zh-CN"/>
        </w:rPr>
        <w:t>深入学习宣传贯彻党的十九大、十九届六中全会会议精神，在学懂弄通做实上下功夫，把党的十九大、十九届六中全会会议精神体现在全面从严治党的实践中，坚持党组理论中心组带头并组织全体干部职工进一步学深学透，并应用于指导中心实际工作。把党章党规党纪作为党组理论中心组学习和党员领导干部的必修课。</w:t>
      </w:r>
    </w:p>
    <w:p>
      <w:pPr>
        <w:ind w:firstLine="64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7.</w:t>
      </w:r>
      <w:r>
        <w:rPr>
          <w:rFonts w:hint="eastAsia" w:ascii="仿宋" w:hAnsi="仿宋" w:eastAsia="仿宋" w:cs="仿宋"/>
          <w:sz w:val="32"/>
          <w:szCs w:val="32"/>
          <w:lang w:val="en-US" w:eastAsia="zh-CN"/>
        </w:rPr>
        <w:t>强化党内监督，严格执行党风廉政各项制度。贯彻执行《关于新形势下党内政治生活的若干准则（试行）》和《中国共产党党内监督条例》，严肃党内政治生活，强化党内监督，严格落实集体领导和分工负责、重要情况通报和报告、述职述廉、“三会一课”等制度。</w:t>
      </w:r>
    </w:p>
    <w:p>
      <w:pPr>
        <w:ind w:firstLine="640"/>
        <w:jc w:val="both"/>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8.</w:t>
      </w:r>
      <w:r>
        <w:rPr>
          <w:rFonts w:hint="eastAsia" w:ascii="仿宋" w:hAnsi="仿宋" w:eastAsia="仿宋" w:cs="仿宋"/>
          <w:sz w:val="32"/>
          <w:szCs w:val="32"/>
          <w:lang w:val="en-US" w:eastAsia="zh-CN"/>
        </w:rPr>
        <w:t>支持配合上级党委巡视工作，高度重视并全力整改巡视反馈问题，认真履行巡视整改主题责任，加强对巡视意见整改落实情况的督查，确保反馈问题得到有效解决。</w:t>
      </w:r>
    </w:p>
    <w:p>
      <w:pPr>
        <w:ind w:firstLine="64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9.</w:t>
      </w:r>
      <w:r>
        <w:rPr>
          <w:rFonts w:hint="eastAsia" w:ascii="仿宋" w:hAnsi="仿宋" w:eastAsia="仿宋" w:cs="仿宋"/>
          <w:sz w:val="32"/>
          <w:szCs w:val="32"/>
          <w:lang w:val="en-US" w:eastAsia="zh-CN"/>
        </w:rPr>
        <w:t>贯彻执行“三重一大”议事决策制度。完善党风廉政风险防控机制，梳理查找中心各股室廉政风险点，制定防控措施，加强对重要环节、重点岗位的监督。</w:t>
      </w:r>
    </w:p>
    <w:p>
      <w:pPr>
        <w:ind w:firstLine="64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10.</w:t>
      </w:r>
      <w:r>
        <w:rPr>
          <w:rFonts w:hint="eastAsia" w:ascii="仿宋" w:hAnsi="仿宋" w:eastAsia="仿宋" w:cs="仿宋"/>
          <w:sz w:val="32"/>
          <w:szCs w:val="32"/>
          <w:lang w:val="en-US" w:eastAsia="zh-CN"/>
        </w:rPr>
        <w:t>健全完善并及时修订党务政务公开制度。建立常态化公开机制，全面公开本单位党务政务，保障群众知情权、参与权和监督权。加强公开平台建设，创新公开方式方法，提高公开时效性。</w:t>
      </w:r>
    </w:p>
    <w:p>
      <w:p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四、具体措施</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中心党组履行全面从严治党主体责任，党组书记是履行主体责任的第一责任人，领导班子成员履行分管业务范围内全面从严治党领导责任。</w:t>
      </w:r>
    </w:p>
    <w:p>
      <w:pPr>
        <w:ind w:firstLine="64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（一）加强组织领导。</w:t>
      </w:r>
      <w:r>
        <w:rPr>
          <w:rFonts w:hint="eastAsia" w:ascii="仿宋" w:hAnsi="仿宋" w:eastAsia="仿宋" w:cs="仿宋"/>
          <w:sz w:val="32"/>
          <w:szCs w:val="32"/>
          <w:lang w:val="en-US" w:eastAsia="zh-CN"/>
        </w:rPr>
        <w:t>坚持把党风廉政建设与业务工作同部署、同落实、同检查、同考核。年初研究制定党风廉政建设与反腐败工作计划、和实施方案，对工作任务进行细化分解，明确领导班子、领导干部的职责和任务分工。及时调整完善党风廉政建设工作领导小组，充分发挥其综合调度，牵头组织落实的职能作用，加强党组落实党风廉政建设责任制情况的监督考核，督促各股室履行主体责任。</w:t>
      </w:r>
    </w:p>
    <w:p>
      <w:pPr>
        <w:ind w:firstLine="64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（二）加强制度建设，制约权力强化监督。</w:t>
      </w:r>
      <w:r>
        <w:rPr>
          <w:rFonts w:hint="eastAsia" w:ascii="仿宋" w:hAnsi="仿宋" w:eastAsia="仿宋" w:cs="仿宋"/>
          <w:sz w:val="32"/>
          <w:szCs w:val="32"/>
          <w:lang w:val="en-US" w:eastAsia="zh-CN"/>
        </w:rPr>
        <w:t>构建决策科学、执行坚决、监督有力的权力运行体系，用制度管权管事管人。</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把权力关进制度笼子，推进党务政务公开。除有关涉密、特殊事项外一律向社会公开，增加透明度，强化全过程监督。</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严格执行党内监督各项制度，认真落实“三重一大”决策制度的各项规定，对涉及药材产业工作的重大决策、重要人事任免、重大项目安排和大额度资金使用，应依法决策，用制度规范权力运行。</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（三）强化宣传教育。</w:t>
      </w:r>
      <w:r>
        <w:rPr>
          <w:rFonts w:hint="eastAsia" w:ascii="仿宋" w:hAnsi="仿宋" w:eastAsia="仿宋" w:cs="仿宋"/>
          <w:sz w:val="32"/>
          <w:szCs w:val="32"/>
          <w:lang w:val="en-US" w:eastAsia="zh-CN"/>
        </w:rPr>
        <w:t>把党风廉政建设和反腐败宣传教育工作纳入中心宣传工作和干部教育培训工作总体部署，从制度层面强化理论武装，深入开展党的十九大、十九届六中全会会议精神、党史学习教育、习近平新时代中国特色社会主义思想的学习教育、中国梦等理想信念和宗旨教育，加强党纪国法、廉政法规和从政道德教育，学习廉洁榜样，强化示范教育。剖析违纪违法案件，加强警示教育，扎实开展党性党风党纪教育和廉政文化建设，积极营造为民务实清廉的舆论氛围和社会环境。</w:t>
      </w:r>
    </w:p>
    <w:p>
      <w:pPr>
        <w:jc w:val="both"/>
        <w:rPr>
          <w:rFonts w:hint="eastAsia" w:ascii="黑体" w:hAnsi="黑体" w:eastAsia="黑体" w:cs="黑体"/>
          <w:sz w:val="36"/>
          <w:szCs w:val="36"/>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F1D78"/>
    <w:rsid w:val="0BCC389B"/>
    <w:rsid w:val="22AA3280"/>
    <w:rsid w:val="295920A7"/>
    <w:rsid w:val="2CFA4E04"/>
    <w:rsid w:val="2E0423DE"/>
    <w:rsid w:val="2FB860CE"/>
    <w:rsid w:val="39203E05"/>
    <w:rsid w:val="3BB45674"/>
    <w:rsid w:val="3BC9006A"/>
    <w:rsid w:val="44C20CBC"/>
    <w:rsid w:val="44D25B57"/>
    <w:rsid w:val="46400E1E"/>
    <w:rsid w:val="47783642"/>
    <w:rsid w:val="48F36E7F"/>
    <w:rsid w:val="647E27AB"/>
    <w:rsid w:val="66EC2F44"/>
    <w:rsid w:val="6A123997"/>
    <w:rsid w:val="6F810491"/>
    <w:rsid w:val="79A7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2022-03-15T02:11:26Z</dcterms:created>
  <dc:creator>Administrator</dc:creator>
  <cp:lastModifiedBy>阳光灿烂下的小幸福1421138525</cp:lastModifiedBy>
  <cp:lastPrinted>2022-03-15T02:26:27Z</cp:lastPrinted>
  <dcterms:modified xsi:type="dcterms:W3CDTF">2022-03-15T02:27:31Z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EE03E03F4E6C4EB4A030EFBCEFACCB18</vt:lpwstr>
  </property>
</Properties>
</file>