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jc w:val="center"/>
        <w:rPr>
          <w:rFonts w:ascii="仿宋" w:eastAsia="仿宋"/>
          <w:b w:val="0"/>
          <w:bCs w:val="0"/>
          <w:i w:val="0"/>
          <w:iCs w:val="0"/>
          <w:caps w:val="0"/>
          <w:smallCaps w:val="0"/>
          <w:vanish w:val="0"/>
          <w:color w:val="333333"/>
          <w:spacing w:val="0"/>
          <w:sz w:val="32"/>
          <w:szCs w:val="32"/>
        </w:rPr>
      </w:pPr>
      <w:r>
        <w:rPr>
          <w:rFonts w:ascii="Microsoft YaHei" w:eastAsia="Microsoft YaHei" w:hint="eastAsia"/>
          <w:b w:val="0"/>
          <w:bCs w:val="0"/>
          <w:i w:val="0"/>
          <w:iCs w:val="0"/>
          <w:caps w:val="0"/>
          <w:smallCaps w:val="0"/>
          <w:color w:val="333333"/>
          <w:spacing w:val="0"/>
          <w:sz w:val="45"/>
          <w:szCs w:val="45"/>
          <w:shd w:val="clear" w:color="auto" w:fill="FFFFFF"/>
        </w:rPr>
        <w:t>习近平总书记在中央民族工作会议上的重要讲话精神</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新华社北京8月28日电中央民族工作会议8月27日至28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420"/>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强调，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指出，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指出，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pBdr>
          <w:top w:val="none" w:sz="0" w:space="0" w:color="auto"/>
          <w:left w:val="none" w:sz="0" w:space="0" w:color="auto"/>
          <w:bottom w:val="none" w:sz="0" w:space="0" w:color="auto"/>
          <w:right w:val="none" w:sz="0" w:space="0" w:color="auto"/>
        </w:pBdr>
        <w:shd w:val="clear" w:color="auto" w:fill="FFFFFF"/>
        <w:spacing w:before="0" w:beforeAutospacing="0" w:after="299" w:afterAutospacing="0" w:line="449" w:lineRule="atLeast"/>
        <w:ind w:left="0" w:right="0" w:firstLineChars="181" w:firstLine="579"/>
        <w:rPr>
          <w:rFonts w:ascii="仿宋" w:eastAsia="仿宋" w:hint="eastAsia"/>
          <w:b w:val="0"/>
          <w:bCs w:val="0"/>
          <w:i w:val="0"/>
          <w:iCs w:val="0"/>
          <w:caps w:val="0"/>
          <w:smallCaps w:val="0"/>
          <w:vanish w:val="0"/>
          <w:color w:val="333333"/>
          <w:spacing w:val="0"/>
          <w:sz w:val="32"/>
          <w:szCs w:val="32"/>
        </w:rPr>
      </w:pPr>
      <w:r>
        <w:rPr>
          <w:rFonts w:ascii="仿宋" w:eastAsia="仿宋" w:hint="eastAsia"/>
          <w:b w:val="0"/>
          <w:bCs w:val="0"/>
          <w:i w:val="0"/>
          <w:iCs w:val="0"/>
          <w:caps w:val="0"/>
          <w:smallCaps w:val="0"/>
          <w:vanish w:val="0"/>
          <w:color w:val="333333"/>
          <w:spacing w:val="0"/>
          <w:sz w:val="32"/>
          <w:szCs w:val="32"/>
        </w:rPr>
        <w:t>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w:t>
      </w:r>
      <w:bookmarkStart w:id="0" w:name="_GoBack"/>
      <w:bookmarkEnd w:id="0"/>
      <w:r>
        <w:rPr>
          <w:rFonts w:ascii="仿宋" w:eastAsia="仿宋" w:hint="eastAsia"/>
          <w:b w:val="0"/>
          <w:bCs w:val="0"/>
          <w:i w:val="0"/>
          <w:iCs w:val="0"/>
          <w:caps w:val="0"/>
          <w:smallCaps w:val="0"/>
          <w:vanish w:val="0"/>
          <w:color w:val="333333"/>
          <w:spacing w:val="0"/>
          <w:sz w:val="32"/>
          <w:szCs w:val="32"/>
        </w:rPr>
        <w:t>协调、强化督查，把党中央的决策部署落到实处。</w:t>
      </w:r>
    </w:p>
    <w:p>
      <w:pPr>
        <w:rPr>
          <w:rFonts w:ascii="仿宋" w:eastAsia="仿宋" w:hint="eastAsia"/>
          <w:sz w:val="32"/>
          <w:szCs w:val="32"/>
        </w:rPr>
      </w:pP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Yozo_Office27021597764231180</Application>
  <Pages>6</Pages>
  <Words>0</Words>
  <Characters>3140</Characters>
  <Lines>0</Lines>
  <Paragraphs>14</Paragraphs>
  <CharactersWithSpaces>4187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tcz</cp:lastModifiedBy>
  <cp:revision>2</cp:revision>
  <dcterms:created xsi:type="dcterms:W3CDTF">2020-07-15T10:51:00Z</dcterms:created>
  <dcterms:modified xsi:type="dcterms:W3CDTF">2021-09-03T07:55:48Z</dcterms:modified>
</cp:coreProperties>
</file>