
<file path=[Content_Types].xml><?xml version="1.0" encoding="utf-8"?>
<Types xmlns="http://schemas.openxmlformats.org/package/2006/content-types">
  <Default Extension="vml" ContentType="application/vnd.openxmlformats-officedocument.vmlDrawing"/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奈曼旗202</w:t>
      </w: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1</w:t>
      </w: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年</w:t>
      </w: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第</w:t>
      </w: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二</w:t>
      </w: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季度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rStyle w:val="NormalCharacter"/>
          <w:szCs w:val="44"/>
          <w:bCs/>
          <w:kern w:val="0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环境质量状况报告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6"/>
          <w:bCs/>
          <w:kern w:val="0"/>
          <w:lang w:val="en-US" w:eastAsia="zh-CN" w:bidi="ar-SA"/>
          <w:b w:val="1"/>
          <w:i w:val="0"/>
          <w:sz w:val="36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宋体" w:cs="宋体" w:eastAsia="宋体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t xml:space="preserve">一、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城市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t xml:space="preserve">环境质量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（一）环境空气质量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大镇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环境空气质量连续自动监测，第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季度有效监测天数共计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88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天，其中天气优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26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天，天气良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48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天，优良天气共计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74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天，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优良率为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84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%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影响环境空气质量的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首要污染物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O3_8h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vertAlign w:val="subscript"/>
          <w:rFonts w:ascii="宋体" w:hAnsi="宋体"/>
          <w:caps w:val="0"/>
        </w:rPr>
        <w:t xml:space="preserve"> 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宋体" w:eastAsia="宋体" w:hAnsi="宋体"/>
          <w:caps w:val="0"/>
        </w:rPr>
        <w:snapToGrid/>
        <w:ind w:firstLine="1280" w:firstLineChars="400"/>
        <w:textAlignment w:val="baseline"/>
      </w:pP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宋体" w:eastAsia="宋体" w:hAnsi="宋体"/>
          <w:caps w:val="0"/>
        </w:rPr>
        <w:t xml:space="preserve">城市环境空气质量监测数据统计一览表</w:t>
      </w:r>
    </w:p>
    <w:tbl>
      <w:tblPr>
        <w:tblW w:type="dxa" w:w="8490"/>
        <w:tblLook w:val="ffff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585"/>
        <w:gridCol w:w="569"/>
        <w:gridCol w:w="661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510"/>
        <w:gridCol w:w="733"/>
        <w:gridCol w:w="767"/>
      </w:tblGrid>
      <w:tr>
        <w:trPr>
          <w:trHeight w:val="540" w:hRule="atLeast"/>
        </w:trPr>
        <w:tc>
          <w:tcPr>
            <w:textDirection w:val="lrTb"/>
            <w:vMerge w:val="restart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月份</w:t>
            </w:r>
          </w:p>
        </w:tc>
        <w:tc>
          <w:tcPr>
            <w:textDirection w:val="lrTb"/>
            <w:vMerge w:val="restart"/>
            <w:vAlign w:val="center"/>
            <w:tcW w:type="dxa" w:w="5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有效天数</w:t>
            </w:r>
          </w:p>
        </w:tc>
        <w:tc>
          <w:tcPr>
            <w:textDirection w:val="lrTb"/>
            <w:vAlign w:val="center"/>
            <w:tcW w:type="dxa" w:w="11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优良天数</w:t>
            </w:r>
          </w:p>
        </w:tc>
        <w:tc>
          <w:tcPr>
            <w:textDirection w:val="lrTb"/>
            <w:vAlign w:val="center"/>
            <w:tcW w:type="dxa" w:w="153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污染天数</w:t>
            </w:r>
          </w:p>
        </w:tc>
        <w:tc>
          <w:tcPr>
            <w:textDirection w:val="lrTb"/>
            <w:vAlign w:val="center"/>
            <w:noWrap/>
            <w:tcW w:type="dxa" w:w="31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1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0"/>
                <w:lang w:val="en-US" w:eastAsia="zh-CN"/>
                <w:b w:val="1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平均浓度</w:t>
            </w:r>
          </w:p>
        </w:tc>
        <w:tc>
          <w:tcPr>
            <w:textDirection w:val="lrTb"/>
            <w:vMerge w:val="restart"/>
            <w:vAlign w:val="center"/>
            <w:tcW w:type="dxa" w:w="7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kern w:val="2"/>
                <w:lang w:val="en-US" w:eastAsia="zh-CN" w:bidi="ar-SA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6"/>
                <w:kern w:val="0"/>
                <w:lang w:val="en-US" w:eastAsia="zh-CN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t xml:space="preserve">首要污染物</w:t>
            </w:r>
          </w:p>
        </w:tc>
        <w:tc>
          <w:tcPr>
            <w:textDirection w:val="lrTb"/>
            <w:vMerge w:val="restart"/>
            <w:vAlign w:val="center"/>
            <w:tcW w:type="dxa" w:w="7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kern w:val="2"/>
                <w:lang w:val="en-US" w:eastAsia="zh-CN" w:bidi="ar-SA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6"/>
                <w:kern w:val="0"/>
                <w:lang w:val="en-US" w:eastAsia="zh-CN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t xml:space="preserve">综合质量指数</w:t>
            </w:r>
          </w:p>
        </w:tc>
      </w:tr>
      <w:tr>
        <w:trPr>
          <w:trHeight w:val="605" w:hRule="atLeast"/>
        </w:trPr>
        <w:tc>
          <w:tcPr>
            <w:textDirection w:val="lrTb"/>
            <w:vMerge w:val="continue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5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优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良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轻度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中度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8"/>
                <w:kern w:val="0"/>
                <w:lang w:val="en-US" w:eastAsia="zh-CN"/>
                <w:b w:val="1"/>
                <w:i w:val="0"/>
                <w:color w:val="000000"/>
                <w:sz w:val="18"/>
                <w:spacing w:val="0"/>
                <w:w w:val="100"/>
                <w:rFonts w:ascii="宋体" w:eastAsia="宋体" w:hAnsi="宋体"/>
                <w:caps w:val="0"/>
              </w:rPr>
              <w:t xml:space="preserve">重度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7"/>
                <w:kern w:val="2"/>
                <w:lang w:val="en-US" w:eastAsia="zh-CN" w:bidi="ar-SA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t xml:space="preserve">SO</w:t>
            </w: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vertAlign w:val="subscript"/>
                <w:rFonts w:ascii="宋体" w:eastAsia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7"/>
                <w:kern w:val="2"/>
                <w:lang w:val="en-US" w:eastAsia="zh-CN" w:bidi="ar-SA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t xml:space="preserve">NO</w:t>
            </w: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vertAlign w:val="subscript"/>
                <w:rFonts w:ascii="宋体" w:eastAsia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7"/>
                <w:kern w:val="2"/>
                <w:lang w:val="en-US" w:eastAsia="zh-CN" w:bidi="ar-SA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t xml:space="preserve">PM</w:t>
            </w: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vertAlign w:val="subscript"/>
                <w:rFonts w:ascii="宋体" w:eastAsia="宋体" w:hAnsi="宋体"/>
                <w:caps w:val="0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kern w:val="2"/>
                <w:lang w:val="en-US" w:eastAsia="zh-CN" w:bidi="ar-SA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6"/>
                <w:kern w:val="0"/>
                <w:lang w:val="en-US" w:eastAsia="zh-CN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t xml:space="preserve">CO</w:t>
            </w:r>
          </w:p>
        </w:tc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7"/>
                <w:kern w:val="2"/>
                <w:lang w:val="en-US" w:eastAsia="zh-CN" w:bidi="ar-SA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t xml:space="preserve">O</w:t>
            </w: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vertAlign w:val="subscript"/>
                <w:rFonts w:ascii="宋体" w:eastAsia="宋体" w:hAnsi="宋体"/>
                <w:caps w:val="0"/>
              </w:rPr>
              <w:t xml:space="preserve">3</w:t>
            </w: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t xml:space="preserve">_8h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17"/>
                <w:kern w:val="2"/>
                <w:lang w:val="en-US" w:eastAsia="zh-CN" w:bidi="ar-SA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rFonts w:ascii="宋体" w:eastAsia="宋体" w:hAnsi="宋体"/>
                <w:caps w:val="0"/>
              </w:rPr>
              <w:t xml:space="preserve">PM</w:t>
            </w:r>
            <w:r>
              <w:rPr>
                <w:rStyle w:val="NormalCharacter"/>
                <w:szCs w:val="17"/>
                <w:kern w:val="0"/>
                <w:lang w:val="en-US" w:eastAsia="zh-CN"/>
                <w:b w:val="1"/>
                <w:i w:val="0"/>
                <w:color w:val="000000"/>
                <w:sz w:val="17"/>
                <w:spacing w:val="0"/>
                <w:w w:val="100"/>
                <w:vertAlign w:val="subscript"/>
                <w:rFonts w:ascii="宋体" w:eastAsia="宋体" w:hAnsi="宋体"/>
                <w:caps w:val="0"/>
              </w:rPr>
              <w:t xml:space="preserve">2.5</w:t>
            </w:r>
          </w:p>
        </w:tc>
        <w:tc>
          <w:tcPr>
            <w:textDirection w:val="lrTb"/>
            <w:vMerge w:val="continue"/>
            <w:vAlign w:val="center"/>
            <w:tcW w:type="dxa" w:w="7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kern w:val="2"/>
                <w:lang w:val="en-US" w:eastAsia="zh-CN" w:bidi="ar-SA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6"/>
                <w:kern w:val="2"/>
                <w:lang w:val="en-US" w:eastAsia="zh-CN" w:bidi="ar-SA"/>
                <w:b w:val="1"/>
                <w:i w:val="0"/>
                <w:color w:val="000000"/>
                <w:sz w:val="16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</w:tr>
      <w:tr>
        <w:trPr>
          <w:trHeight w:val="675" w:hRule="atLeast"/>
        </w:trPr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4-6</w:t>
            </w:r>
          </w:p>
        </w:tc>
        <w:tc>
          <w:tcPr>
            <w:textDirection w:val="lrTb"/>
            <w:vAlign w:val="center"/>
            <w:tcW w:type="dxa" w:w="5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88</w:t>
            </w:r>
          </w:p>
        </w:tc>
        <w:tc>
          <w:tcPr>
            <w:textDirection w:val="lrTb"/>
            <w:vAlign w:val="center"/>
            <w:tcW w:type="dxa" w:w="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26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48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57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0.6</w:t>
            </w:r>
          </w:p>
        </w:tc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160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17</w:t>
            </w:r>
          </w:p>
        </w:tc>
        <w:tc>
          <w:tcPr>
            <w:textDirection w:val="lrTb"/>
            <w:vAlign w:val="center"/>
            <w:tcW w:type="dxa" w:w="7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O3_8h</w:t>
            </w:r>
          </w:p>
        </w:tc>
        <w:tc>
          <w:tcPr>
            <w:textDirection w:val="lrTb"/>
            <w:vAlign w:val="center"/>
            <w:tcW w:type="dxa" w:w="7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 xml:space="preserve">2.79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pict>
          <v:shapetype id="_x0000_t75" coordsize="21600,21600" o:spt="75" filled="f" stroked="f">
            <v:stroke joinstyle="miter"/>
            <v:path/>
          </v:shapetype>
          <v:shape type="#_x0000_t75" id="_x0000_i1025" style="mso-position-horizontal-relative:page;mso-position-vertical-relative:page;width:416.934pt;height:260.25pt;">
            <v:imagedata r:id="rId3" o:title=""/>
          </v:shape>
        </w:pict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宋体" w:eastAsia="宋体" w:hAnsi="宋体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监测项目：二氧化硫、二氧化氮、PM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vertAlign w:val="subscript"/>
          <w:rFonts w:ascii="宋体" w:eastAsia="宋体" w:hAnsi="宋体"/>
          <w:caps w:val="0"/>
        </w:rPr>
        <w:t xml:space="preserve">10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、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一氧化碳、臭氧、PM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vertAlign w:val="subscript"/>
          <w:rFonts w:ascii="宋体" w:eastAsia="宋体" w:hAnsi="宋体"/>
          <w:caps w:val="0"/>
        </w:rPr>
        <w:t xml:space="preserve">2.5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评价标准和方法：执行《环境空气质量标准》（GB3095-2012）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 二级浓度标准限值，综合质量指数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根据《环境空气质量评价技术规范（试行）》（HJ663-2013）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计算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注：季均浓度值（单位：除CO为毫克/立方米外，其它均为微克/立方米）。</w:t>
      </w:r>
    </w:p>
    <w:p>
      <w:pPr>
        <w:pStyle w:val="Footer"/>
        <w:jc w:val="left"/>
        <w:spacing w:before="0" w:beforeAutospacing="0" w:after="0" w:afterAutospacing="0" w:lineRule="auto" w:line="360"/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 w:val="0"/>
        <w:ind w:firstLine="562" w:firstLineChars="200"/>
        <w:textAlignment w:val="baseline"/>
        <w:tabs>
          <w:tab w:val="center" w:leader="none" w:pos="4153"/>
          <w:tab w:val="right" w:leader="none" w:pos="8306"/>
        </w:tabs>
      </w:pPr>
      <w:r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（</w:t>
      </w:r>
      <w:r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二</w:t>
      </w:r>
      <w:r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）</w:t>
      </w:r>
      <w:r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奈曼旗城市集中式生活饮用水</w:t>
      </w:r>
      <w:r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水</w:t>
      </w:r>
      <w:r>
        <w:rPr>
          <w:rStyle w:val="NormalCharacter"/>
          <w:szCs w:val="28"/>
          <w:bCs w:val="off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源地水质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1.监测点位：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旗自来水公司第一水厂、第三水厂。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2.监测项目：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700" w:firstLineChars="25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pH、嗅和味、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水温、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总硬度、浑浊度、铁、锰、铜、铅、镉、硫酸盐、硝酸盐氮、亚硝酸盐氮、氨氮、氯化物、氟化物、六价铬、挥发酚、镍、总大肠菌群、汞、砷、细菌总数、溶解性总固体共2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4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项。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3.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评价标准及方法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地下水集中式生活饮用水水源地水质评价执行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《地下水质量标准》（GB/T14848-2017）表1 表2地下水质量分类指标 III类标准限值。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4.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评价结果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监测期间一水厂水质铁、锰未达到标准限值要求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三水厂水质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氨氮、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铁、锰未达到标准限值要求。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地下水集中式生活饮用水水源地水质状况见下表：</w:t>
      </w:r>
    </w:p>
    <w:tbl>
      <w:tblPr>
        <w:tblW w:type="dxa" w:w="847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435"/>
        <w:gridCol w:w="902"/>
        <w:gridCol w:w="1488"/>
        <w:gridCol w:w="931"/>
        <w:gridCol w:w="866"/>
        <w:gridCol w:w="660"/>
        <w:gridCol w:w="3190"/>
      </w:tblGrid>
      <w:tr>
        <w:trPr>
          <w:trHeight w:val="621" w:hRule="atLeast"/>
        </w:trPr>
        <w:tc>
          <w:tcPr>
            <w:textDirection w:val="lrTb"/>
            <w:vAlign w:val="center"/>
            <w:tcW w:type="dxa" w:w="4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9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城市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名称</w:t>
            </w:r>
          </w:p>
        </w:tc>
        <w:tc>
          <w:tcPr>
            <w:textDirection w:val="lrTb"/>
            <w:vAlign w:val="center"/>
            <w:tcW w:type="dxa" w:w="14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监测点位</w:t>
            </w:r>
          </w:p>
        </w:tc>
        <w:tc>
          <w:tcPr>
            <w:textDirection w:val="lrTb"/>
            <w:vAlign w:val="center"/>
            <w:tcW w:type="dxa" w:w="9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水源地类型</w:t>
            </w:r>
          </w:p>
        </w:tc>
        <w:tc>
          <w:tcPr>
            <w:textDirection w:val="lrTb"/>
            <w:vAlign w:val="center"/>
            <w:tcW w:type="dxa" w:w="8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达标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6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水质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31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超标指标及超标倍数</w:t>
            </w:r>
          </w:p>
        </w:tc>
      </w:tr>
      <w:tr>
        <w:trPr>
          <w:trHeight w:val="680" w:hRule="atLeast"/>
        </w:trPr>
        <w:tc>
          <w:tcPr>
            <w:textDirection w:val="lrTb"/>
            <w:vAlign w:val="center"/>
            <w:tcW w:type="dxa" w:w="4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</w:t>
            </w:r>
          </w:p>
        </w:tc>
        <w:tc>
          <w:tcPr>
            <w:textDirection w:val="lrTb"/>
            <w:vMerge w:val="restart"/>
            <w:vAlign w:val="center"/>
            <w:tcW w:type="dxa" w:w="9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奈曼旗</w:t>
            </w:r>
          </w:p>
        </w:tc>
        <w:tc>
          <w:tcPr>
            <w:textDirection w:val="lrTb"/>
            <w:vAlign w:val="center"/>
            <w:tcW w:type="dxa" w:w="14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自来水公司（第一水厂）</w:t>
            </w:r>
          </w:p>
        </w:tc>
        <w:tc>
          <w:tcPr>
            <w:textDirection w:val="lrTb"/>
            <w:vAlign w:val="center"/>
            <w:tcW w:type="dxa" w:w="9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8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6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31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highlight w:val="yellow"/>
                <w:rFonts w:ascii="宋体" w:eastAsia="宋体" w:hAnsi="宋体"/>
                <w:caps w:val="0"/>
              </w:rPr>
              <w:snapToGrid/>
              <w:ind w:firstLine="210" w:firstLineChars="10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铁（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0.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1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倍）、锰（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3.8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倍）</w:t>
            </w:r>
          </w:p>
        </w:tc>
      </w:tr>
      <w:tr>
        <w:trPr>
          <w:trHeight w:val="894" w:hRule="atLeast"/>
        </w:trPr>
        <w:tc>
          <w:tcPr>
            <w:textDirection w:val="lrTb"/>
            <w:vAlign w:val="center"/>
            <w:tcW w:type="dxa" w:w="4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Merge w:val="continue"/>
            <w:vAlign w:val="center"/>
            <w:tcW w:type="dxa" w:w="9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4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自来水公司（第三水厂）</w:t>
            </w:r>
          </w:p>
        </w:tc>
        <w:tc>
          <w:tcPr>
            <w:textDirection w:val="lrTb"/>
            <w:vAlign w:val="center"/>
            <w:tcW w:type="dxa" w:w="9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8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6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31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highlight w:val="yellow"/>
                <w:rFonts w:ascii="宋体" w:eastAsia="宋体" w:hAnsi="宋体"/>
                <w:caps w:val="0"/>
              </w:rPr>
              <w:snapToGrid/>
              <w:ind w:firstLine="210" w:firstLineChars="100"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氨氮（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0.266倍）、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铁（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0.8倍）、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锰（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5.4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倍）</w:t>
            </w:r>
          </w:p>
        </w:tc>
      </w:tr>
    </w:tbl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备注：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420" w:firstLineChars="15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集中式生活饮用水水源水质和饮用水水质的区别：饮用水水源为地下水（原水），执行《地下水质量标准》（GB/T 14848-2017）Ⅲ类标准限值；居民饮用水为末梢水，执行《生活饮用水卫生标准》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（GB 5749-2006）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，地下水经自来水厂净化处理后，进入居民供水系统作为饮用水。</w:t>
      </w:r>
    </w:p>
    <w:p>
      <w:pPr>
        <w:pStyle w:val="BodyText"/>
        <w:jc w:val="both"/>
        <w:spacing w:before="0" w:beforeAutospacing="0" w:after="120" w:afterAutospacing="0" w:line="600" w:lineRule="exact"/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t/>
      </w:r>
    </w:p>
    <w:p>
      <w:pPr>
        <w:pStyle w:val="BodyText"/>
        <w:jc w:val="both"/>
        <w:spacing w:before="0" w:beforeAutospacing="0" w:after="120" w:afterAutospacing="0" w:line="600" w:lineRule="exact"/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t xml:space="preserve">二、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t xml:space="preserve">农村</w:t>
      </w:r>
      <w:r>
        <w:rPr>
          <w:rStyle w:val="NormalCharacter"/>
          <w:szCs w:val="32"/>
          <w:bCs/>
          <w:kern w:val="0"/>
          <w:lang w:val="en-US" w:eastAsia="zh-CN" w:bidi="ar-SA"/>
          <w:b w:val="1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t xml:space="preserve">环境质量</w:t>
      </w:r>
    </w:p>
    <w:p>
      <w:pPr>
        <w:pStyle w:val="BodyText"/>
        <w:jc w:val="both"/>
        <w:spacing w:before="0" w:beforeAutospacing="0" w:after="120" w:afterAutospacing="0" w:line="600" w:lineRule="exact"/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（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一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）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环境空气质量</w:t>
      </w:r>
    </w:p>
    <w:p>
      <w:pPr>
        <w:pStyle w:val="Normal"/>
        <w:widowControl/>
        <w:jc w:val="left"/>
        <w:spacing w:before="0" w:beforeAutospacing="0" w:after="0" w:afterAutospacing="0" w:lineRule="auto" w:line="36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1.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六号农场第二分厂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环境空气质量手工监测，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每季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连续监测五天，每日采样时间不少于20个小时。</w:t>
      </w:r>
    </w:p>
    <w:p>
      <w:pPr>
        <w:pStyle w:val="Footer"/>
        <w:jc w:val="left"/>
        <w:spacing w:before="0" w:beforeAutospacing="0" w:after="0" w:afterAutospacing="0" w:lineRule="auto" w:line="36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 w:val="0"/>
        <w:ind w:firstLine="560" w:firstLineChars="200"/>
        <w:textAlignment w:val="baseline"/>
        <w:tabs>
          <w:tab w:val="center" w:leader="none" w:pos="4153"/>
          <w:tab w:val="right" w:leader="none" w:pos="8306"/>
        </w:tabs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2.监测项目</w:t>
      </w:r>
    </w:p>
    <w:p>
      <w:pPr>
        <w:pStyle w:val="Normal"/>
        <w:widowControl/>
        <w:jc w:val="left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可吸入颗粒物（PM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vertAlign w:val="subscript"/>
          <w:rFonts w:ascii="宋体" w:eastAsia="宋体" w:hAnsi="宋体"/>
          <w:caps w:val="0"/>
        </w:rPr>
        <w:t xml:space="preserve">10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）、二氧化硫、氮氧化物共3项。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left="525" w:leftChars="250"/>
        <w:textAlignment w:val="baseline"/>
        <w:tabs>
          <w:tab w:val="left" w:leader="none" w:pos="312"/>
        </w:tabs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监测结果：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二氧化硫日均值浓度范围：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4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～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7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微克/立方米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left="525" w:leftChars="25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氮氧化物日均值浓度范围：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18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～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23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微克/立方米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left="525" w:leftChars="25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PM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vertAlign w:val="subscript"/>
          <w:rFonts w:ascii="宋体" w:eastAsia="宋体" w:hAnsi="宋体"/>
          <w:caps w:val="0"/>
        </w:rPr>
        <w:t xml:space="preserve">10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日均值浓度范围：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22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～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90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微克/立方米。</w:t>
      </w:r>
    </w:p>
    <w:p>
      <w:pPr>
        <w:pStyle w:val="Normal"/>
        <w:widowControl/>
        <w:jc w:val="left"/>
        <w:spacing w:before="0" w:beforeAutospacing="0" w:after="0" w:afterAutospacing="0" w:lineRule="auto" w:line="360"/>
        <w:rPr>
          <w:rStyle w:val="NormalCharacter"/>
          <w:szCs w:val="28"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4.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评价标准及方法</w:t>
      </w:r>
    </w:p>
    <w:p>
      <w:pPr>
        <w:pStyle w:val="Normal"/>
        <w:widowControl/>
        <w:jc w:val="left"/>
        <w:spacing w:before="0" w:beforeAutospacing="0" w:after="0" w:afterAutospacing="0" w:lineRule="auto" w:line="36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按照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宋体" w:eastAsia="宋体" w:hAnsi="宋体"/>
          <w:caps w:val="0"/>
        </w:rPr>
        <w:t xml:space="preserve">《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环境空气质量标准》（GB3095-2012）二级浓度标准限值要求进行评价。</w:t>
      </w:r>
    </w:p>
    <w:p>
      <w:pPr>
        <w:pStyle w:val="Normal"/>
        <w:widowControl/>
        <w:jc w:val="left"/>
        <w:spacing w:before="0" w:beforeAutospacing="0" w:after="0" w:afterAutospacing="0" w:lineRule="auto" w:line="360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5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、评价结果</w:t>
      </w:r>
    </w:p>
    <w:p>
      <w:pPr>
        <w:pStyle w:val="Footer"/>
        <w:jc w:val="left"/>
        <w:spacing w:before="0" w:beforeAutospacing="0" w:after="0" w:afterAutospacing="0" w:lineRule="auto" w:line="36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 w:val="0"/>
        <w:ind w:firstLine="600"/>
        <w:textAlignment w:val="baseline"/>
        <w:tabs>
          <w:tab w:val="center" w:leader="none" w:pos="4153"/>
          <w:tab w:val="right" w:leader="none" w:pos="8306"/>
        </w:tabs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六号农场第二分厂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监测期间所检项目均达到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宋体" w:eastAsia="宋体" w:hAnsi="宋体"/>
          <w:caps w:val="0"/>
        </w:rPr>
        <w:t xml:space="preserve">《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环境空气质量标准》（GB3095-2012）二级浓度标准限值要求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影响环境空气质量的主要污染因子是可吸入颗粒物（PM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vertAlign w:val="subscript"/>
          <w:rFonts w:ascii="宋体" w:eastAsia="宋体" w:hAnsi="宋体"/>
          <w:caps w:val="0"/>
        </w:rPr>
        <w:t xml:space="preserve">10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）</w:t>
      </w:r>
    </w:p>
    <w:p>
      <w:pPr>
        <w:pStyle w:val="Normal"/>
        <w:widowControl/>
        <w:jc w:val="left"/>
        <w:numPr>
          <w:ilvl w:val="0"/>
          <w:numId w:val="2"/>
        </w:numPr>
        <w:spacing w:before="0" w:beforeAutospacing="0" w:after="0" w:afterAutospacing="0" w:line="520" w:lineRule="atLeast"/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农村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集中式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饮用水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水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源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地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水质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1.监测点位：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六号农场第二分厂</w:t>
      </w: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集中式</w:t>
      </w: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饮用水</w:t>
      </w: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水</w:t>
      </w: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源</w:t>
      </w: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地水井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2.监测项目：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水温、pH、总硬度、浑浊度、铁、锰、铜、铅、镉、氨氮、六价铬、挥发酚、镍、总大肠菌群、汞、砷、细菌总数、嗅和味、氟化物、氯化物、亚硝酸盐氮、硝酸盐氮、硫酸盐、溶解性总固体共24项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。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3.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评价标准及方法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地下水集中式生活饮用水水源地水质评价执行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《地下水质量标准》（GB/T14848-2017）表1 地下水质量分类指标 III类标准限值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4.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评价结果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10"/>
          <w:kern w:val="0"/>
          <w:lang w:val="en-US" w:eastAsia="zh-CN" w:bidi="ar-SA"/>
          <w:b w:val="0"/>
          <w:i w:val="0"/>
          <w:color w:val="000000"/>
          <w:sz w:val="10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监测期间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六号农场</w:t>
      </w:r>
      <w:r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第二分厂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水质锰未达到标准限值要求。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详见下表：</w:t>
      </w:r>
    </w:p>
    <w:tbl>
      <w:tblPr>
        <w:tblW w:type="dxa" w:w="846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426"/>
        <w:gridCol w:w="1578"/>
        <w:gridCol w:w="1605"/>
        <w:gridCol w:w="855"/>
        <w:gridCol w:w="915"/>
        <w:gridCol w:w="795"/>
        <w:gridCol w:w="2288"/>
      </w:tblGrid>
      <w:tr>
        <w:trPr>
          <w:trHeight w:val="880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城市名称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监测点位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水源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类型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达标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水质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超标指标及超标倍数</w:t>
            </w:r>
          </w:p>
        </w:tc>
      </w:tr>
      <w:tr>
        <w:trPr>
          <w:trHeight w:val="735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奈曼旗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六号农场水厂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锰（2.6）</w:t>
            </w:r>
          </w:p>
        </w:tc>
      </w:tr>
    </w:tbl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28"/>
          <w:bCs w:val="off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（三）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农村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万人千吨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饮用水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水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源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地</w:t>
      </w: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水质</w:t>
      </w:r>
    </w:p>
    <w:p>
      <w:pPr>
        <w:pStyle w:val="179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1.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监测点位：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东明镇水厂、黄花塔拉水厂。</w:t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2.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监测项目：</w:t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pH、总硬度、浑浊度、铁、锰、铜、铅、镉、氨氮、六价铬、挥发酚、镍、总大肠菌群、汞、砷、细菌总数、嗅和味、氟化物、氯化物、亚硝酸盐氮、硝酸盐氮、硫酸盐、溶解性总固体共23项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。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3.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评价标准及方法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地下水集中式生活饮用水水源地水质评价执行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《地下水质量标准》（GB/T14848-2017）表1 地下水质量分类指标 III类标准限值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widowControl/>
        <w:jc w:val="left"/>
        <w:spacing w:before="0" w:beforeAutospacing="0" w:after="0" w:afterAutospacing="0" w:line="520" w:lineRule="exact"/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4.</w:t>
      </w:r>
      <w:r>
        <w:rPr>
          <w:rStyle w:val="NormalCharacter"/>
          <w:szCs w:val="28"/>
          <w:bCs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cs="宋体" w:eastAsia="宋体" w:hAnsi="宋体"/>
          <w:caps w:val="0"/>
        </w:rPr>
        <w:t xml:space="preserve">评价结果</w:t>
      </w:r>
    </w:p>
    <w:p>
      <w:pPr>
        <w:pStyle w:val="Normal"/>
        <w:widowControl/>
        <w:jc w:val="left"/>
        <w:spacing w:before="0" w:beforeAutospacing="0" w:after="0" w:afterAutospacing="0" w:line="520" w:lineRule="atLeast"/>
        <w:rPr>
          <w:rStyle w:val="NormalCharacter"/>
          <w:szCs w:val="10"/>
          <w:kern w:val="0"/>
          <w:lang w:val="en-US" w:eastAsia="zh-CN" w:bidi="ar-SA"/>
          <w:b w:val="0"/>
          <w:i w:val="0"/>
          <w:sz w:val="10"/>
          <w:spacing w:val="0"/>
          <w:w w:val="100"/>
          <w:rFonts w:ascii="宋体" w:eastAsia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监测期间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Times New Roman" w:eastAsia="宋体" w:hAnsi="Times New Roman"/>
          <w:caps w:val="0"/>
        </w:rPr>
        <w:t xml:space="preserve">东明镇水厂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 xml:space="preserve">水质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锰未达到标准限值要求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黄花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塔拉水厂均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eastAsia="宋体" w:hAnsi="宋体"/>
          <w:caps w:val="0"/>
        </w:rPr>
        <w:t xml:space="preserve">达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到标准限值要求。详见下表：</w:t>
      </w:r>
    </w:p>
    <w:tbl>
      <w:tblPr>
        <w:tblW w:type="dxa" w:w="846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426"/>
        <w:gridCol w:w="1578"/>
        <w:gridCol w:w="1605"/>
        <w:gridCol w:w="855"/>
        <w:gridCol w:w="915"/>
        <w:gridCol w:w="795"/>
        <w:gridCol w:w="2288"/>
      </w:tblGrid>
      <w:tr>
        <w:trPr>
          <w:trHeight w:val="880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城市名称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监测点位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水源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类型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达标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水质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/>
                <w:caps w:val="0"/>
              </w:rPr>
              <w:t xml:space="preserve">超标指标及超标倍数</w:t>
            </w:r>
          </w:p>
        </w:tc>
      </w:tr>
      <w:tr>
        <w:trPr>
          <w:trHeight w:val="530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1</w:t>
            </w:r>
          </w:p>
        </w:tc>
        <w:tc>
          <w:tcPr>
            <w:textDirection w:val="lrTb"/>
            <w:vMerge w:val="restart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奈曼旗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东明镇水厂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锰（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2.9倍）</w:t>
            </w:r>
          </w:p>
        </w:tc>
      </w:tr>
      <w:tr>
        <w:trPr>
          <w:trHeight w:val="295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Merge w:val="continue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t xml:space="preserve">黄花塔拉水厂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520" w:lineRule="exact"/>
              <w:rPr>
                <w:rStyle w:val="NormalCharacter"/>
                <w:szCs w:val="28"/>
                <w:bCs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宋体" w:cs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t xml:space="preserve">达标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III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Times New Roman" w:hAnsi="Times New Roman"/>
                <w:caps w:val="0"/>
              </w:rPr>
              <w:t xml:space="preserve">—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建议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：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落实属地环境保护管理责任，完善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生活饮用水水源地保护措施，加大水质净化处理设施投入，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保证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出水水质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稳定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eastAsia="宋体" w:hAnsi="宋体"/>
          <w:caps w:val="0"/>
        </w:rPr>
        <w:t xml:space="preserve">达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到《生活饮用水卫生标准》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（GB 5749-2006）</w:t>
      </w: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的标准。</w:t>
      </w:r>
    </w:p>
    <w:p>
      <w:pPr>
        <w:pStyle w:val="Normal"/>
        <w:jc w:val="both"/>
        <w:numPr>
          <w:ilvl w:val="0"/>
          <w:numId w:val="3"/>
        </w:numPr>
        <w:spacing w:before="0" w:beforeAutospacing="0" w:after="0" w:afterAutospacing="0" w:lineRule="auto" w:line="240"/>
        <w:rPr>
          <w:rStyle w:val="NormalCharacter"/>
          <w:szCs w:val="28"/>
          <w:bCs/>
          <w:kern w:val="0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snapToGrid/>
        <w:ind w:firstLine="562" w:firstLineChars="200"/>
        <w:textAlignment w:val="baseline"/>
      </w:pPr>
      <w:r>
        <w:rPr>
          <w:rStyle w:val="NormalCharacter"/>
          <w:szCs w:val="28"/>
          <w:bCs/>
          <w:kern w:val="0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t xml:space="preserve">重点污染源监督监测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1.污水水质监测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280" w:firstLineChars="1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（1）监测点位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奈曼旗净昊排水有限责任公司污水排放出口，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280" w:firstLineChars="1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（2）监测项目：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温度、化学需氧量、生化需氧量、悬浮物、总氮、氨氮、总磷、色度、PH、总锰、总汞、总镉、总铬、六价铬、总砷、总铅、总镍、总铜、石油类、动植物油、粪大肠菌类共21项。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280" w:firstLineChars="1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（3）评价标准及方法：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污水处理厂污水排放执行《城镇污水处理厂污染物排放标准》(GB18918-2002)一级A标准。</w:t>
      </w:r>
    </w:p>
    <w:p>
      <w:pPr>
        <w:pStyle w:val="Normal"/>
        <w:jc w:val="left"/>
        <w:numPr>
          <w:ilvl w:val="0"/>
          <w:numId w:val="4"/>
        </w:numPr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评价结果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监测期间奈曼旗净昊排水有限责任公司污水排放，所检项目均符合标准限值要求。</w:t>
      </w:r>
    </w:p>
    <w:sectPr>
      <w:footerReference w:type="default" r:id="rId4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4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>
      <w:rPr>
        <w:rStyle w:val="NormalCharacter"/>
        <w:szCs w:val="24"/>
        <w:sz w:val="18"/>
        <w:kern w:val="2"/>
        <w:lang w:val="en-US" w:eastAsia="zh-CN" w:bidi="ar-SA"/>
        <w:rFonts w:ascii="Calibri" w:eastAsia="宋体" w:hAnsi="Calibri"/>
      </w:rPr>
      <w:pict>
        <v:shape id="_x0000_s2049" type="#_x0000_t202" style="position:absolute;width:144.0pt;height:144.0pt;v-text-anchor:top;mso-position-horizontal:center;z-index:524288;mso-position-horizontal-relative:margin;" filled="f" stroked="f" coordsize="21600,21600">
          <v:stroke linestyle="single"/>
          <v:textbox inset="0.0pt,0.0pt,0.0pt,0.0pt">
            <w:txbxContent>
              <w:p>
                <w:pPr>
                  <w:pStyle w:val="Footer"/>
                  <w:rPr>
                    <w:rStyle w:val="NormalCharacter"/>
                    <w:szCs w:val="24"/>
                    <w:sz w:val="18"/>
                    <w:kern w:val="2"/>
                    <w:lang w:val="en-US" w:eastAsia="zh-CN" w:bidi="ar-SA"/>
                    <w:rFonts w:ascii="Calibri" w:eastAsia="宋体" w:hAnsi="Calibri"/>
                  </w:rPr>
                  <w:tabs>
                    <w:tab w:leader="none" w:val="center" w:pos="4153"/>
                    <w:tab w:leader="none" w:val="right" w:pos="8306"/>
                  </w:tabs>
                  <w:snapToGrid w:val="0"/>
                  <w:jc w:val="left"/>
                  <w:textAlignment w:val="baseline"/>
                </w:pPr>
                <w:r>
                  <w:rPr>
                    <w:rStyle w:val="NormalCharacter"/>
                    <w:szCs w:val="24"/>
                    <w:sz w:val="18"/>
                    <w:kern w:val="2"/>
                    <w:lang w:val="en-US" w:eastAsia="zh-CN" w:bidi="ar-SA"/>
                    <w:rFonts w:ascii="Calibri" w:eastAsia="宋体" w:hAnsi="Calibri"/>
                  </w:rPr>
                </w:r>
              </w:p>
              <w:p>
                <w:pPr>
                  <w:pStyle w:val="Normal"/>
                  <w:rPr>
                    <w:rStyle w:val="NormalCharacter"/>
                  </w:rPr>
                  <w:widowControl/>
                  <w:textAlignment w:val="baseline"/>
                </w:pPr>
              </w:p>
            </w:txbxContent>
          </v:textbox>
        </v:shape>
      </w:pict>
    </w:r>
  </w:p>
</w:ft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8e0b1bc7"/>
    <w:multiLevelType w:val="singleLevel"/>
    <w:tmpl w:val="8e0b1bc7"/>
    <w:lvl w:ilvl="0">
      <w:start w:val="4"/>
      <w:numFmt w:val="chineseCounting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abstractNum w:abstractNumId="1">
    <w:nsid w:val="2291ef2c"/>
    <w:multiLevelType w:val="singleLevel"/>
    <w:tmpl w:val="2291ef2c"/>
    <w:lvl w:ilvl="0">
      <w:start w:val="3"/>
      <w:numFmt w:val="decimal"/>
      <w:suff w:val="tab"/>
      <w:lvlText w:val="%1."/>
      <w:lvlJc w:val="left"/>
      <w:pPr>
        <w:pStyle w:val="Normal"/>
        <w:widowControl/>
        <w:tabs>
          <w:tab w:leader="none" w:val="num" w:pos="312"/>
        </w:tabs>
        <w:textAlignment w:val="baseline"/>
      </w:pPr>
      <w:rPr>
        <w:rStyle w:val="NormalCharacter"/>
      </w:rPr>
    </w:lvl>
  </w:abstractNum>
  <w:abstractNum w:abstractNumId="2">
    <w:nsid w:val="3d60ed3c"/>
    <w:multiLevelType w:val="singleLevel"/>
    <w:tmpl w:val="3d60ed3c"/>
    <w:lvl w:ilvl="0">
      <w:start w:val="2"/>
      <w:numFmt w:val="chineseCounting"/>
      <w:suff w:val="nothing"/>
      <w:lvlText w:val="（%1）"/>
      <w:lvlJc w:val="left"/>
      <w:pPr>
        <w:pStyle w:val="Normal"/>
        <w:widowControl/>
        <w:textAlignment w:val="baseline"/>
      </w:pPr>
      <w:rPr>
        <w:rStyle w:val="NormalCharacter"/>
      </w:rPr>
    </w:lvl>
  </w:abstractNum>
  <w:abstractNum w:abstractNumId="3">
    <w:nsid w:val="45bfe4bd"/>
    <w:multiLevelType w:val="singleLevel"/>
    <w:tmpl w:val="45bfe4bd"/>
    <w:lvl w:ilvl="0">
      <w:start w:val="4"/>
      <w:numFmt w:val="decimal"/>
      <w:suff w:val="nothing"/>
      <w:lvlText w:val="（%1）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paragraph" w:styleId="BodyText">
    <w:name w:val="BodyText"/>
    <w:next w:val="BodyText"/>
    <w:link w:val="Normal"/>
    <w:pPr>
      <w:rPr>
        <w:szCs w:val="24"/>
        <w:sz w:val="21"/>
        <w:kern w:val="0"/>
        <w:lang w:val="en-US" w:eastAsia="zh-CN" w:bidi="ar-SA"/>
        <w:rFonts w:ascii="Calibri" w:eastAsia="宋体" w:hAnsi="Calibri"/>
      </w:rPr>
      <w:spacing w:after="120"/>
      <w:jc w:val="both"/>
      <w:textAlignment w:val="baseline"/>
    </w:pPr>
    <w:rPr>
      <w:szCs w:val="24"/>
      <w:sz w:val="21"/>
      <w:kern w:val="0"/>
      <w:lang w:val="en-US" w:eastAsia="zh-CN" w:bidi="ar-SA"/>
      <w:rFonts w:ascii="Calibri" w:eastAsia="宋体" w:hAnsi="Calibri"/>
    </w:rPr>
  </w:style>
  <w:style w:type="paragraph" w:styleId="Footer">
    <w:name w:val="Footer"/>
    <w:next w:val="Footer"/>
    <w:link w:val="Normal"/>
    <w:pPr>
      <w:rPr>
        <w:szCs w:val="24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24"/>
      <w:sz w:val="18"/>
      <w:kern w:val="2"/>
      <w:lang w:val="en-US" w:eastAsia="zh-CN" w:bidi="ar-SA"/>
      <w:rFonts w:ascii="Calibri" w:eastAsia="宋体" w:hAnsi="Calibri"/>
    </w:rPr>
  </w:style>
  <w:style w:type="paragraph" w:styleId="Header">
    <w:name w:val="Header"/>
    <w:basedOn w:val="Normal"/>
    <w:next w:val="Header"/>
    <w:link w:val="Normal"/>
    <w:pPr>
      <w:rPr>
        <w:szCs w:val="22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Cs w:val="22"/>
      <w:sz w:val="18"/>
      <w:kern w:val="2"/>
      <w:lang w:val="en-US" w:eastAsia="zh-CN" w:bidi="ar-SA"/>
    </w:rPr>
  </w:style>
  <w:style w:type="table" w:styleId="TableGrid">
    <w:name w:val="TableGrid"/>
    <w:next w:val="TableGrid"/>
    <w:link w:val="Normal"/>
  </w:style>
  <w:style w:type="paragraph" w:styleId="179">
    <w:name w:val="179"/>
    <w:next w:val="179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ind w:firstLine="420" w:firstLineChars="200"/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奈曼旗202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1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年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上半年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(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第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二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季度</w:t>
      </w: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)</w:t>
      </w:r>
    </w:p>
    <w:p>
      <w:pPr>
        <w:pStyle w:val="Normal"/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0"/>
          <w:lang w:val="en-US" w:eastAsia="zh-CN" w:bidi="ar-SA"/>
          <w:rFonts w:ascii="黑体" w:cs="黑体" w:eastAsia="黑体" w:hAnsi="黑体"/>
        </w:rPr>
        <w:t xml:space="preserve">环境质量状况报告</w:t>
      </w:r>
    </w:p>
    <w:p>
      <w:pPr>
        <w:pStyle w:val="Normal"/>
        <w:rPr>
          <w:rStyle w:val="NormalCharacter"/>
          <w:b/>
          <w:bCs/>
          <w:szCs w:val="36"/>
          <w:sz w:val="36"/>
          <w:kern w:val="0"/>
          <w:lang w:val="en-US" w:eastAsia="zh-CN" w:bidi="ar-SA"/>
          <w:rFonts w:ascii="宋体" w:cs="宋体" w:eastAsia="宋体" w:hAnsi="宋体"/>
        </w:rPr>
        <w:jc w:val="center"/>
        <w:textAlignment w:val="baseline"/>
      </w:pPr>
    </w:p>
    <w:p>
      <w:pPr>
        <w:pStyle w:val="Normal"/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jc w:val="left"/>
        <w:textAlignment w:val="baseline"/>
        <w:numPr>
          <w:ilvl w:val="0"/>
          <w:numId w:val="0"/>
        </w:numPr>
      </w:pP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t xml:space="preserve">一、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城市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t xml:space="preserve">环境质量</w:t>
      </w:r>
    </w:p>
    <w:p>
      <w:pPr>
        <w:pStyle w:val="Normal"/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ind w:firstLine="562" w:firstLineChars="200"/>
        <w:jc w:val="left"/>
        <w:textAlignment w:val="baseline"/>
        <w:numPr>
          <w:ilvl w:val="0"/>
          <w:numId w:val="0"/>
        </w:numPr>
      </w:pP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（一）环境空气质量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大镇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环境空气质量连续自动监测，第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季度有效监测天数共计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88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天，其中天气优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26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天，天气良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48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天，优良天气共计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74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天，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优良率为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84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%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影响环境空气质量的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首要污染物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为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O3_8h</w:t>
      </w:r>
      <w:r>
        <w:rPr>
          <w:rStyle w:val="NormalCharacter"/>
          <w:vertAlign w:val="subscript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宋体" w:eastAsia="宋体" w:hAnsi="宋体"/>
          <w:color w:val="000000"/>
        </w:rPr>
        <w:ind w:firstLine="1280" w:firstLineChars="400"/>
        <w:jc w:val="both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宋体" w:eastAsia="宋体" w:hAnsi="宋体"/>
          <w:color w:val="000000"/>
        </w:rPr>
        <w:t xml:space="preserve">城市环境空气质量监测数据统计一览表</w:t>
      </w:r>
    </w:p>
    <w:tbl>
      <w:tblPr>
        <w:tblW w:type="dxa" w:w="8490"/>
        <w:tblLook w:val="ffff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585"/>
        <w:gridCol w:w="569"/>
        <w:gridCol w:w="661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510"/>
        <w:gridCol w:w="733"/>
        <w:gridCol w:w="767"/>
      </w:tblGrid>
      <w:tr>
        <w:trPr>
          <w:trHeight w:val="540" w:hRule="atLeast"/>
        </w:trPr>
        <w:tc>
          <w:tcPr>
            <w:textDirection w:val="lrTb"/>
            <w:vMerge w:val="restart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月份</w:t>
            </w:r>
          </w:p>
        </w:tc>
        <w:tc>
          <w:tcPr>
            <w:textDirection w:val="lrTb"/>
            <w:vMerge w:val="restart"/>
            <w:vAlign w:val="center"/>
            <w:tcW w:type="dxa" w:w="5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有效天数</w:t>
            </w:r>
          </w:p>
        </w:tc>
        <w:tc>
          <w:tcPr>
            <w:textDirection w:val="lrTb"/>
            <w:vAlign w:val="center"/>
            <w:tcW w:type="dxa" w:w="117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优良天数</w:t>
            </w:r>
          </w:p>
        </w:tc>
        <w:tc>
          <w:tcPr>
            <w:textDirection w:val="lrTb"/>
            <w:vAlign w:val="center"/>
            <w:tcW w:type="dxa" w:w="153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污染天数</w:t>
            </w:r>
          </w:p>
        </w:tc>
        <w:tc>
          <w:tcPr>
            <w:textDirection w:val="lrTb"/>
            <w:vAlign w:val="center"/>
            <w:noWrap/>
            <w:tcW w:type="dxa" w:w="3135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20"/>
                <w:sz w:val="20"/>
                <w:kern w:val="0"/>
                <w:lang w:val="en-US" w:eastAsia="zh-CN"/>
                <w:rFonts w:ascii="宋体" w:hAnsi="宋体"/>
                <w:color w:val="000000"/>
              </w:rPr>
              <w:t xml:space="preserve">平均浓度</w:t>
            </w:r>
          </w:p>
        </w:tc>
        <w:tc>
          <w:tcPr>
            <w:textDirection w:val="lrTb"/>
            <w:vMerge w:val="restart"/>
            <w:vAlign w:val="center"/>
            <w:tcW w:type="dxa" w:w="7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6"/>
                <w:sz w:val="16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6"/>
                <w:sz w:val="16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首要污染物</w:t>
            </w:r>
          </w:p>
        </w:tc>
        <w:tc>
          <w:tcPr>
            <w:textDirection w:val="lrTb"/>
            <w:vMerge w:val="restart"/>
            <w:vAlign w:val="center"/>
            <w:tcW w:type="dxa" w:w="7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6"/>
                <w:sz w:val="16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6"/>
                <w:sz w:val="16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综合质量指数</w:t>
            </w:r>
          </w:p>
        </w:tc>
      </w:tr>
      <w:tr>
        <w:trPr>
          <w:trHeight w:val="605" w:hRule="atLeast"/>
        </w:trPr>
        <w:tc>
          <w:tcPr>
            <w:textDirection w:val="lrTb"/>
            <w:vMerge w:val="continue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5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优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良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轻度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中度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8"/>
                <w:sz w:val="18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重度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7"/>
                <w:sz w:val="17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SO</w:t>
            </w:r>
            <w:r>
              <w:rPr>
                <w:rStyle w:val="NormalCharacter"/>
                <w:b/>
                <w:i w:val="off"/>
                <w:vertAlign w:val="subscript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7"/>
                <w:sz w:val="17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NO</w:t>
            </w:r>
            <w:r>
              <w:rPr>
                <w:rStyle w:val="NormalCharacter"/>
                <w:b/>
                <w:i w:val="off"/>
                <w:vertAlign w:val="subscript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7"/>
                <w:sz w:val="17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PM</w:t>
            </w:r>
            <w:r>
              <w:rPr>
                <w:rStyle w:val="NormalCharacter"/>
                <w:b/>
                <w:i w:val="off"/>
                <w:vertAlign w:val="subscript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6"/>
                <w:sz w:val="16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6"/>
                <w:sz w:val="16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CO</w:t>
            </w:r>
          </w:p>
        </w:tc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7"/>
                <w:sz w:val="17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O</w:t>
            </w:r>
            <w:r>
              <w:rPr>
                <w:rStyle w:val="NormalCharacter"/>
                <w:b/>
                <w:i w:val="off"/>
                <w:vertAlign w:val="subscript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</w:t>
            </w:r>
            <w:r>
              <w:rPr>
                <w:rStyle w:val="NormalCharacter"/>
                <w:b/>
                <w:i w:val="off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_8h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7"/>
                <w:sz w:val="17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b/>
                <w:i w:val="off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PM</w:t>
            </w:r>
            <w:r>
              <w:rPr>
                <w:rStyle w:val="NormalCharacter"/>
                <w:b/>
                <w:i w:val="off"/>
                <w:vertAlign w:val="subscript"/>
                <w:szCs w:val="17"/>
                <w:sz w:val="17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2.5</w:t>
            </w:r>
          </w:p>
        </w:tc>
        <w:tc>
          <w:tcPr>
            <w:textDirection w:val="lrTb"/>
            <w:vMerge w:val="continue"/>
            <w:vAlign w:val="center"/>
            <w:tcW w:type="dxa" w:w="7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6"/>
                <w:sz w:val="16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i w:val="off"/>
                <w:szCs w:val="16"/>
                <w:sz w:val="16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</w:p>
        </w:tc>
      </w:tr>
      <w:tr>
        <w:trPr>
          <w:trHeight w:val="675" w:hRule="atLeast"/>
        </w:trPr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0"/>
                <w:lang w:val="en-US" w:eastAsia="zh-CN"/>
                <w:rFonts w:ascii="宋体" w:hAnsi="宋体"/>
                <w:color w:val="000000"/>
              </w:rPr>
              <w:t xml:space="preserve">4-6</w:t>
            </w:r>
          </w:p>
        </w:tc>
        <w:tc>
          <w:tcPr>
            <w:textDirection w:val="lrTb"/>
            <w:vAlign w:val="center"/>
            <w:tcW w:type="dxa" w:w="56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88</w:t>
            </w:r>
          </w:p>
        </w:tc>
        <w:tc>
          <w:tcPr>
            <w:textDirection w:val="lrTb"/>
            <w:vAlign w:val="center"/>
            <w:tcW w:type="dxa" w:w="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26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48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0"/>
                <w:lang w:val="en-US" w:eastAsia="zh-CN"/>
                <w:rFonts w:ascii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0"/>
                <w:lang w:val="en-US" w:eastAsia="zh-CN"/>
                <w:rFonts w:ascii="宋体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57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0.6</w:t>
            </w:r>
          </w:p>
        </w:tc>
        <w:tc>
          <w:tcPr>
            <w:textDirection w:val="lrTb"/>
            <w:vAlign w:val="center"/>
            <w:tcW w:type="dxa" w:w="5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160</w:t>
            </w:r>
          </w:p>
        </w:tc>
        <w:tc>
          <w:tcPr>
            <w:textDirection w:val="lrTb"/>
            <w:vAlign w:val="center"/>
            <w:tcW w:type="dxa" w:w="5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17</w:t>
            </w:r>
          </w:p>
        </w:tc>
        <w:tc>
          <w:tcPr>
            <w:textDirection w:val="lrTb"/>
            <w:vAlign w:val="center"/>
            <w:tcW w:type="dxa" w:w="7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O3_8h</w:t>
            </w:r>
          </w:p>
        </w:tc>
        <w:tc>
          <w:tcPr>
            <w:textDirection w:val="lrTb"/>
            <w:vAlign w:val="center"/>
            <w:tcW w:type="dxa" w:w="76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szCs w:val="20"/>
                <w:sz w:val="20"/>
                <w:kern w:val="0"/>
                <w:lang w:val="en-US" w:eastAsia="zh-CN"/>
                <w:rFonts w:ascii="宋体" w:hAnsi="宋体"/>
                <w:color w:val="000000"/>
              </w:rPr>
              <w:t xml:space="preserve">2.79</w:t>
            </w:r>
          </w:p>
        </w:tc>
      </w:tr>
    </w:tbl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宋体" w:eastAsia="宋体" w:hAnsi="宋体"/>
          <w:color w:val="000000"/>
        </w:rPr>
        <w:jc w:val="both"/>
        <w:textAlignment w:val="baseline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宋体" w:eastAsia="宋体" w:hAnsi="宋体"/>
          <w:color w:val="000000"/>
        </w:rPr>
        <w:pict>
          <v:shapetype id="_x0000_t75" coordsize="21600,21600" o:spt="75" filled="f" stroked="f">
            <v:stroke joinstyle="miter"/>
            <v:path/>
            <o:lock v:ext="edit" aspectratio="t"/>
          </v:shapetype>
          <v:shape type="#_x0000_t75" id="_x0000_i1025" style="mso-position-horizontal-relative:page;mso-position-vertical-relative:page;width:416.934pt;height:260.25pt;">
            <v:imagedata r:id="rId3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ind w:firstLine="420" w:firstLineChars="150"/>
        <w:jc w:val="both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监测项目：二氧化硫、二氧化氮、PM</w:t>
      </w:r>
      <w:r>
        <w:rPr>
          <w:rStyle w:val="NormalCharacter"/>
          <w:vertAlign w:val="subscript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10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、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一氧化碳、臭氧、PM</w:t>
      </w:r>
      <w:r>
        <w:rPr>
          <w:rStyle w:val="NormalCharacter"/>
          <w:vertAlign w:val="subscript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2.5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ind w:firstLine="420" w:firstLineChars="150"/>
        <w:jc w:val="both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评价标准和方法：执行《环境空气质量标准》（GB3095-2012）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 二级浓度标准限值，综合质量指数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根据《环境空气质量评价技术规范（试行）》（HJ663-2013）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计算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ind w:firstLine="420" w:firstLineChars="150"/>
        <w:jc w:val="both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注：季均浓度值（单位：除CO为毫克/立方米外，其它均为微克/立方米）。</w:t>
      </w:r>
    </w:p>
    <w:p>
      <w:pPr>
        <w:pStyle w:val="Footer"/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abs>
          <w:tab w:leader="none" w:val="center" w:pos="4153"/>
          <w:tab w:leader="none" w:val="right" w:pos="8306"/>
        </w:tabs>
        <w:snapToGrid w:val="0"/>
        <w:ind w:firstLine="562" w:firstLineChars="200"/>
        <w:spacing w:line="360" w:lineRule="auto"/>
        <w:jc w:val="left"/>
        <w:textAlignment w:val="baseline"/>
      </w:pPr>
      <w:r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（</w:t>
      </w:r>
      <w:r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二</w:t>
      </w:r>
      <w:r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）</w:t>
      </w:r>
      <w:r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奈曼旗城市集中式生活饮用水</w:t>
      </w:r>
      <w:r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水</w:t>
      </w:r>
      <w:r>
        <w:rPr>
          <w:rStyle w:val="NormalCharacter"/>
          <w:b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源地水质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1.监测点位：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旗自来水公司第一水厂、第三水厂。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2.监测项目：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700" w:firstLineChars="25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pH、嗅和味、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水温、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总硬度、浑浊度、铁、锰、铜、铅、镉、硫酸盐、硝酸盐氮、亚硝酸盐氮、氨氮、氯化物、氟化物、六价铬、挥发酚、镍、总大肠菌群、汞、砷、细菌总数、溶解性总固体共2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4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项。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3.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评价标准及方法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地下水集中式生活饮用水水源地水质评价执行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《地下水质量标准》（GB/T14848-2017）表1 表2地下水质量分类指标 III类标准限值。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4.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评价结果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420" w:firstLineChars="15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监测期间一水厂水质铁、锰未达到标准限值要求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，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三水厂水质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氨氮、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铁、锰未达到标准限值要求。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420" w:firstLineChars="15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地下水集中式生活饮用水水源地水质状况见下表：</w:t>
      </w:r>
    </w:p>
    <w:tbl>
      <w:tblPr>
        <w:tblW w:type="dxa" w:w="847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435"/>
        <w:gridCol w:w="902"/>
        <w:gridCol w:w="1488"/>
        <w:gridCol w:w="931"/>
        <w:gridCol w:w="866"/>
        <w:gridCol w:w="660"/>
        <w:gridCol w:w="3190"/>
      </w:tblGrid>
      <w:tr>
        <w:trPr>
          <w:trHeight w:val="621" w:hRule="atLeast"/>
        </w:trPr>
        <w:tc>
          <w:tcPr>
            <w:textDirection w:val="lrTb"/>
            <w:vAlign w:val="center"/>
            <w:tcW w:type="dxa" w:w="4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9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城市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名称</w:t>
            </w:r>
          </w:p>
        </w:tc>
        <w:tc>
          <w:tcPr>
            <w:textDirection w:val="lrTb"/>
            <w:vAlign w:val="center"/>
            <w:tcW w:type="dxa" w:w="14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监测点位</w:t>
            </w:r>
          </w:p>
        </w:tc>
        <w:tc>
          <w:tcPr>
            <w:textDirection w:val="lrTb"/>
            <w:vAlign w:val="center"/>
            <w:tcW w:type="dxa" w:w="9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水源地类型</w:t>
            </w:r>
          </w:p>
        </w:tc>
        <w:tc>
          <w:tcPr>
            <w:textDirection w:val="lrTb"/>
            <w:vAlign w:val="center"/>
            <w:tcW w:type="dxa" w:w="8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达标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6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水质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31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超标指标及超标倍数</w:t>
            </w:r>
          </w:p>
        </w:tc>
      </w:tr>
      <w:tr>
        <w:trPr>
          <w:trHeight w:val="680" w:hRule="atLeast"/>
        </w:trPr>
        <w:tc>
          <w:tcPr>
            <w:textDirection w:val="lrTb"/>
            <w:vAlign w:val="center"/>
            <w:tcW w:type="dxa" w:w="4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Merge w:val="restart"/>
            <w:vAlign w:val="center"/>
            <w:tcW w:type="dxa" w:w="9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奈曼旗</w:t>
            </w:r>
          </w:p>
        </w:tc>
        <w:tc>
          <w:tcPr>
            <w:textDirection w:val="lrTb"/>
            <w:vAlign w:val="center"/>
            <w:tcW w:type="dxa" w:w="14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自来水公司（第一水厂）</w:t>
            </w:r>
          </w:p>
        </w:tc>
        <w:tc>
          <w:tcPr>
            <w:textDirection w:val="lrTb"/>
            <w:vAlign w:val="center"/>
            <w:tcW w:type="dxa" w:w="9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8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6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31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highlight w:val="yellow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210" w:firstLineChars="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铁（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0.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1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倍）、锰（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3.8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倍）</w:t>
            </w:r>
          </w:p>
        </w:tc>
      </w:tr>
      <w:tr>
        <w:trPr>
          <w:trHeight w:val="894" w:hRule="atLeast"/>
        </w:trPr>
        <w:tc>
          <w:tcPr>
            <w:textDirection w:val="lrTb"/>
            <w:vAlign w:val="center"/>
            <w:tcW w:type="dxa" w:w="4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Merge w:val="continue"/>
            <w:vAlign w:val="center"/>
            <w:tcW w:type="dxa" w:w="9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自来水公司（第三水厂）</w:t>
            </w:r>
          </w:p>
        </w:tc>
        <w:tc>
          <w:tcPr>
            <w:textDirection w:val="lrTb"/>
            <w:vAlign w:val="center"/>
            <w:tcW w:type="dxa" w:w="9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86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6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31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highlight w:val="yellow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ind w:firstLine="210" w:firstLineChars="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氨氮（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0.266倍）、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铁（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0.8倍）、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锰（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  <w:color w:val="000000"/>
              </w:rPr>
              <w:t xml:space="preserve">5.4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  <w:color w:val="000000"/>
              </w:rPr>
              <w:t xml:space="preserve">倍）</w:t>
            </w:r>
          </w:p>
        </w:tc>
      </w:tr>
    </w:tbl>
    <w:p>
      <w:pPr>
        <w:pStyle w:val="Normal"/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420" w:firstLineChars="150"/>
        <w:spacing w:line="520" w:lineRule="atLeast"/>
        <w:jc w:val="left"/>
        <w:textAlignment w:val="baseline"/>
      </w:pP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备注：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420" w:firstLineChars="15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集中式生活饮用水水源水质和饮用水水质的区别：饮用水水源为地下水（原水），执行《地下水质量标准》（GB/T 14848-2017）Ⅲ类标准限值；居民饮用水为末梢水，执行《生活饮用水卫生标准》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（GB 5749-2006）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，地下水经自来水厂净化处理后，进入居民供水系统作为饮用水。</w:t>
      </w:r>
    </w:p>
    <w:p>
      <w:pPr>
        <w:pStyle w:val="BodyText"/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spacing w:line="600" w:after="120" w:lineRule="exact"/>
        <w:jc w:val="both"/>
        <w:textAlignment w:val="baseline"/>
        <w:numPr>
          <w:ilvl w:val="0"/>
          <w:numId w:val="0"/>
        </w:numPr>
      </w:pPr>
    </w:p>
    <w:p>
      <w:pPr>
        <w:pStyle w:val="BodyText"/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spacing w:line="600" w:after="120" w:lineRule="exact"/>
        <w:jc w:val="both"/>
        <w:textAlignment w:val="baseline"/>
        <w:numPr>
          <w:ilvl w:val="0"/>
          <w:numId w:val="0"/>
        </w:numPr>
      </w:pP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t xml:space="preserve">二、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t xml:space="preserve">农村</w:t>
      </w:r>
      <w:r>
        <w:rPr>
          <w:rStyle w:val="NormalCharacter"/>
          <w:b/>
          <w:bCs/>
          <w:szCs w:val="32"/>
          <w:sz w:val="32"/>
          <w:kern w:val="0"/>
          <w:lang w:val="en-US" w:eastAsia="zh-CN" w:bidi="ar-SA"/>
          <w:rFonts w:ascii="宋体" w:cs="宋体" w:eastAsia="宋体" w:hAnsi="宋体"/>
          <w:color w:val="000000"/>
        </w:rPr>
        <w:t xml:space="preserve">环境质量</w:t>
      </w:r>
    </w:p>
    <w:p>
      <w:pPr>
        <w:pStyle w:val="BodyText"/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ind w:firstLine="562" w:firstLineChars="200"/>
        <w:spacing w:line="600" w:after="120" w:lineRule="exact"/>
        <w:jc w:val="both"/>
        <w:textAlignment w:val="baseline"/>
        <w:numPr>
          <w:ilvl w:val="0"/>
          <w:numId w:val="0"/>
        </w:numPr>
      </w:pP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（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一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）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环境空气质量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360" w:lineRule="auto"/>
        <w:jc w:val="left"/>
        <w:textAlignment w:val="baseline"/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1.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六号农场第二分厂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环境空气质量手工监测，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每季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连续监测五天，每日采样时间不少于20个小时。</w:t>
      </w:r>
    </w:p>
    <w:p>
      <w:pPr>
        <w:pStyle w:val="Footer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abs>
          <w:tab w:leader="none" w:val="center" w:pos="4153"/>
          <w:tab w:leader="none" w:val="right" w:pos="8306"/>
        </w:tabs>
        <w:snapToGrid w:val="0"/>
        <w:ind w:firstLine="560" w:firstLineChars="200"/>
        <w:spacing w:line="360" w:lineRule="auto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2.监测项目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widowControl/>
        <w:ind w:firstLine="560"/>
        <w:spacing w:line="360" w:lineRule="auto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可吸入颗粒物（PM</w:t>
      </w:r>
      <w:r>
        <w:rPr>
          <w:rStyle w:val="NormalCharacter"/>
          <w:vertAlign w:val="subscript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10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）、二氧化硫、氮氧化物共3项。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abs>
          <w:tab w:leader="none" w:val="left" w:pos="312"/>
        </w:tabs>
        <w:ind w:leftChars="250" w:left="525"/>
        <w:spacing w:line="360" w:lineRule="auto"/>
        <w:jc w:val="both"/>
        <w:textAlignment w:val="baseline"/>
        <w:numPr>
          <w:ilvl w:val="0"/>
          <w:numId w:val="1"/>
        </w:numPr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监测结果：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ind w:firstLine="560" w:firstLineChars="200"/>
        <w:spacing w:line="360" w:lineRule="auto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二氧化硫日均值浓度范围：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4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～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7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微克/立方米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ind w:leftChars="250" w:left="525"/>
        <w:spacing w:line="360" w:lineRule="auto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氮氧化物日均值浓度范围：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18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～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23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微克/立方米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ind w:leftChars="250" w:left="525"/>
        <w:spacing w:line="360" w:lineRule="auto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PM</w:t>
      </w:r>
      <w:r>
        <w:rPr>
          <w:rStyle w:val="NormalCharacter"/>
          <w:vertAlign w:val="subscript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10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日均值浓度范围：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22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～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90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微克/立方米。</w:t>
      </w:r>
    </w:p>
    <w:p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360" w:lineRule="auto"/>
        <w:jc w:val="left"/>
        <w:textAlignment w:val="baseline"/>
        <w:numPr>
          <w:ilvl w:val="0"/>
          <w:numId w:val="0"/>
        </w:numPr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4.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评价标准及方法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360" w:lineRule="auto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按照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宋体" w:eastAsia="宋体" w:hAnsi="宋体"/>
          <w:color w:val="000000"/>
        </w:rPr>
        <w:t xml:space="preserve">《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环境空气质量标准》（GB3095-2012）二级浓度标准限值要求进行评价。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0" w:firstLineChars="200"/>
        <w:spacing w:line="360" w:lineRule="auto"/>
        <w:jc w:val="left"/>
        <w:textAlignment w:val="baseline"/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5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、评价结果</w:t>
      </w:r>
    </w:p>
    <w:p>
      <w:pPr>
        <w:pStyle w:val="Footer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abs>
          <w:tab w:leader="none" w:val="center" w:pos="4153"/>
          <w:tab w:leader="none" w:val="right" w:pos="8306"/>
        </w:tabs>
        <w:snapToGrid w:val="0"/>
        <w:ind w:firstLine="600"/>
        <w:spacing w:line="360" w:lineRule="auto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六号农场第二分厂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监测期间所检项目均达到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宋体" w:eastAsia="宋体" w:hAnsi="宋体"/>
          <w:color w:val="000000"/>
        </w:rPr>
        <w:t xml:space="preserve">《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环境空气质量标准》（GB3095-2012）二级浓度标准限值要求</w:t>
      </w:r>
    </w:p>
    <w:p>
      <w:pPr>
        <w:pStyle w:val="Normal"/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影响环境空气质量的主要污染因子是可吸入颗粒物（PM</w:t>
      </w:r>
      <w:r>
        <w:rPr>
          <w:rStyle w:val="NormalCharacter"/>
          <w:vertAlign w:val="subscript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10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）</w:t>
      </w:r>
    </w:p>
    <w:p>
      <w:pPr>
        <w:pStyle w:val="Normal"/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2" w:firstLineChars="200"/>
        <w:spacing w:line="520" w:lineRule="atLeast"/>
        <w:jc w:val="left"/>
        <w:textAlignment w:val="baseline"/>
        <w:numPr>
          <w:ilvl w:val="0"/>
          <w:numId w:val="2"/>
        </w:numPr>
      </w:pP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农村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集中式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饮用水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水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源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地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水质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1.监测点位：</w:t>
      </w:r>
    </w:p>
    <w:p>
      <w:pPr>
        <w:pStyle w:val="Normal"/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  <w:numPr>
          <w:ilvl w:val="0"/>
          <w:numId w:val="0"/>
        </w:numPr>
      </w:pP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六号农场第二分厂</w:t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集中式</w:t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饮用水</w:t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水</w:t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源</w:t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地水井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2.监测项目：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水温、pH、总硬度、浑浊度、铁、锰、铜、铅、镉、氨氮、六价铬、挥发酚、镍、总大肠菌群、汞、砷、细菌总数、嗅和味、氟化物、氯化物、亚硝酸盐氮、硝酸盐氮、硫酸盐、溶解性总固体共24项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3.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评价标准及方法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地下水集中式生活饮用水水源地水质评价执行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《地下水质量标准》（GB/T14848-2017）表1 地下水质量分类指标 III类标准限值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  <w:numPr>
          <w:ilvl w:val="0"/>
          <w:numId w:val="0"/>
        </w:numPr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4.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评价结果</w:t>
      </w:r>
    </w:p>
    <w:p>
      <w:pPr>
        <w:pStyle w:val="Normal"/>
        <w:rPr>
          <w:rStyle w:val="NormalCharacter"/>
          <w:szCs w:val="10"/>
          <w:sz w:val="10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监测期间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六号农场</w:t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第二分厂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水质锰未达到标准限值要求。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详见下表：</w:t>
      </w:r>
    </w:p>
    <w:tbl>
      <w:tblPr>
        <w:tblW w:type="dxa" w:w="846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426"/>
        <w:gridCol w:w="1578"/>
        <w:gridCol w:w="1605"/>
        <w:gridCol w:w="855"/>
        <w:gridCol w:w="915"/>
        <w:gridCol w:w="795"/>
        <w:gridCol w:w="2288"/>
      </w:tblGrid>
      <w:tr>
        <w:trPr>
          <w:trHeight w:val="880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城市名称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监测点位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水源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类型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达标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水质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超标指标及超标倍数</w:t>
            </w:r>
          </w:p>
        </w:tc>
      </w:tr>
      <w:tr>
        <w:trPr>
          <w:trHeight w:val="735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奈曼旗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六号农场水厂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锰（2.6）</w:t>
            </w:r>
          </w:p>
        </w:tc>
      </w:tr>
    </w:tbl>
    <w:p>
      <w:pPr>
        <w:pStyle w:val="Normal"/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2" w:firstLineChars="200"/>
        <w:spacing w:line="520" w:lineRule="atLeast"/>
        <w:jc w:val="left"/>
        <w:textAlignment w:val="baseline"/>
      </w:pP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（三）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农村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万人千吨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饮用水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水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源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地</w:t>
      </w: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水质</w:t>
      </w:r>
    </w:p>
    <w:p>
      <w:pPr>
        <w:pStyle w:val="179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1.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监测点位：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东明镇水厂、黄花塔拉水厂。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240" w:lineRule="auto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2.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监测项目：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widowControl/>
        <w:ind w:firstLine="560" w:firstLineChars="200"/>
        <w:spacing w:line="240" w:lineRule="auto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pH、总硬度、浑浊度、铁、锰、铜、铅、镉、氨氮、六价铬、挥发酚、镍、总大肠菌群、汞、砷、细菌总数、嗅和味、氟化物、氯化物、亚硝酸盐氮、硝酸盐氮、硫酸盐、溶解性总固体共23项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3.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评价标准及方法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地下水集中式生活饮用水水源地水质评价执行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《地下水质量标准》（GB/T14848-2017）表1 地下水质量分类指标 III类标准限值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widowControl/>
        <w:ind w:firstLine="560" w:firstLineChars="200"/>
        <w:spacing w:line="520" w:lineRule="exact"/>
        <w:jc w:val="left"/>
        <w:textAlignment w:val="baseline"/>
        <w:numPr>
          <w:ilvl w:val="0"/>
          <w:numId w:val="0"/>
        </w:numPr>
      </w:pP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4.</w:t>
      </w:r>
      <w:r>
        <w:rPr>
          <w:rStyle w:val="NormalCharacter"/>
          <w:b w:val="off"/>
          <w:bCs/>
          <w:szCs w:val="28"/>
          <w:sz w:val="28"/>
          <w:kern w:val="0"/>
          <w:lang w:val="en-US" w:eastAsia="zh-CN" w:bidi="ar-SA"/>
          <w:rFonts w:ascii="宋体" w:cs="宋体" w:eastAsia="宋体" w:hAnsi="宋体"/>
          <w:color w:val="000000"/>
        </w:rPr>
        <w:t xml:space="preserve">评价结果</w:t>
      </w:r>
    </w:p>
    <w:p>
      <w:pPr>
        <w:pStyle w:val="Normal"/>
        <w:rPr>
          <w:rStyle w:val="NormalCharacter"/>
          <w:szCs w:val="10"/>
          <w:sz w:val="10"/>
          <w:kern w:val="0"/>
          <w:lang w:val="en-US" w:eastAsia="zh-CN" w:bidi="ar-SA"/>
          <w:rFonts w:ascii="宋体" w:eastAsia="宋体" w:hAnsi="宋体"/>
        </w:rPr>
        <w:widowControl/>
        <w:ind w:firstLine="560" w:firstLineChars="200"/>
        <w:spacing w:line="520" w:lineRule="atLeast"/>
        <w:jc w:val="left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监测期间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  <w:color w:val="000000"/>
        </w:rPr>
        <w:t xml:space="preserve">东明镇水厂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水质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锰未达到标准限值要求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  <w:color w:val="000000"/>
        </w:rPr>
        <w:t xml:space="preserve">黄花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eastAsia="宋体" w:hAnsi="宋体"/>
        </w:rPr>
        <w:t xml:space="preserve">塔拉水厂均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  <w:color w:val="000000"/>
        </w:rPr>
        <w:t xml:space="preserve">达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</w:rPr>
        <w:t xml:space="preserve">到标准限值要求。详见下表：</w:t>
      </w:r>
    </w:p>
    <w:tbl>
      <w:tblPr>
        <w:tblW w:type="dxa" w:w="846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426"/>
        <w:gridCol w:w="1578"/>
        <w:gridCol w:w="1605"/>
        <w:gridCol w:w="855"/>
        <w:gridCol w:w="915"/>
        <w:gridCol w:w="795"/>
        <w:gridCol w:w="2288"/>
      </w:tblGrid>
      <w:tr>
        <w:trPr>
          <w:trHeight w:val="880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城市名称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监测点位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水源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类型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达标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水质</w:t>
            </w:r>
          </w:p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widowControl/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b w:val="off"/>
                <w:bCs/>
                <w:szCs w:val="21"/>
                <w:sz w:val="21"/>
                <w:kern w:val="2"/>
                <w:lang w:val="en-US" w:eastAsia="zh-CN" w:bidi="ar-SA"/>
                <w:rFonts w:ascii="宋体" w:cs="宋体" w:eastAsia="宋体" w:hAnsi="宋体"/>
                <w:color w:val="000000"/>
              </w:rPr>
              <w:t xml:space="preserve">超标指标及超标倍数</w:t>
            </w:r>
          </w:p>
        </w:tc>
      </w:tr>
      <w:tr>
        <w:trPr>
          <w:trHeight w:val="530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Merge w:val="restart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奈曼旗</w:t>
            </w: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napToGrid w:val="0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Times New Roman" w:eastAsia="宋体" w:hAnsi="Times New Roman"/>
              </w:rPr>
              <w:t xml:space="preserve">东明镇水厂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超标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Ⅳ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锰（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2.9倍）</w:t>
            </w:r>
          </w:p>
        </w:tc>
      </w:tr>
      <w:tr>
        <w:trPr>
          <w:trHeight w:val="295" w:hRule="atLeast"/>
        </w:trPr>
        <w:tc>
          <w:tcPr>
            <w:textDirection w:val="lrTb"/>
            <w:vAlign w:val="center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Merge w:val="continue"/>
            <w:vAlign w:val="center"/>
            <w:tcW w:type="dxa" w:w="15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6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napToGrid w:val="0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Times New Roman" w:eastAsia="宋体" w:hAnsi="Times New Roman"/>
              </w:rPr>
              <w:t xml:space="preserve">黄花塔拉水厂</w:t>
            </w:r>
          </w:p>
        </w:tc>
        <w:tc>
          <w:tcPr>
            <w:textDirection w:val="lrTb"/>
            <w:vAlign w:val="center"/>
            <w:tcW w:type="dxa" w:w="8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0"/>
                <w:lang w:val="en-US" w:eastAsia="zh-CN" w:bidi="ar-SA"/>
                <w:rFonts w:ascii="宋体" w:cs="宋体" w:eastAsia="宋体" w:hAnsi="宋体"/>
                <w:color w:val="000000"/>
              </w:rPr>
              <w:spacing w:line="52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地下水</w:t>
            </w:r>
          </w:p>
        </w:tc>
        <w:tc>
          <w:tcPr>
            <w:textDirection w:val="lrTb"/>
            <w:vAlign w:val="center"/>
            <w:tcW w:type="dxa" w:w="9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达标</w:t>
            </w:r>
          </w:p>
        </w:tc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III</w:t>
            </w:r>
          </w:p>
        </w:tc>
        <w:tc>
          <w:tcPr>
            <w:textDirection w:val="lrTb"/>
            <w:vAlign w:val="center"/>
            <w:tcW w:type="dxa" w:w="22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Times New Roman" w:hAnsi="Times New Roman"/>
                <w:color w:val="000000"/>
              </w:rPr>
              <w:t xml:space="preserve">—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建议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</w:rPr>
        <w:t xml:space="preserve">：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落实属地环境保护管理责任，完善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</w:rPr>
        <w:t xml:space="preserve">生活饮用水水源地保护措施，加大水质净化处理设施投入，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保证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</w:rPr>
        <w:t xml:space="preserve">出水水质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稳定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</w:rPr>
        <w:t xml:space="preserve">达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到《生活饮用水卫生标准》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（GB 5749-2006）</w:t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的标准。</w:t>
      </w:r>
    </w:p>
    <w:p>
      <w:pPr>
        <w:pStyle w:val="Normal"/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hAnsi="宋体"/>
        </w:rPr>
        <w:ind w:firstLine="562" w:firstLineChars="200"/>
        <w:jc w:val="both"/>
        <w:textAlignment w:val="baseline"/>
        <w:numPr>
          <w:ilvl w:val="0"/>
          <w:numId w:val="3"/>
        </w:numPr>
      </w:pPr>
      <w:r>
        <w:rPr>
          <w:rStyle w:val="NormalCharacter"/>
          <w:b/>
          <w:bCs/>
          <w:szCs w:val="28"/>
          <w:sz w:val="28"/>
          <w:kern w:val="0"/>
          <w:lang w:val="en-US" w:eastAsia="zh-CN" w:bidi="ar-SA"/>
          <w:rFonts w:ascii="宋体" w:cs="宋体" w:hAnsi="宋体"/>
        </w:rPr>
        <w:t xml:space="preserve">重点污染源监督监测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560" w:firstLineChars="20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1.污水水质监测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280" w:firstLineChars="100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（1）监测点位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560" w:firstLineChars="200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奈曼旗净昊排水有限责任公司污水排放出口，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280" w:firstLineChars="100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（2）监测项目：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560" w:firstLineChars="200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温度、化学需氧量、生化需氧量、悬浮物、总氮、氨氮、总磷、色度、PH、总锰、总汞、总镉、总铬、六价铬、总砷、总铅、总镍、总铜、石油类、动植物油、粪大肠菌类共21项。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280" w:firstLineChars="100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（3）评价标准及方法：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560" w:firstLineChars="200"/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污水处理厂污水排放执行《城镇污水处理厂污染物排放标准》(GB18918-2002)一级A标准。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ind w:firstLine="560" w:firstLineChars="200"/>
        <w:jc w:val="left"/>
        <w:textAlignment w:val="baseline"/>
        <w:numPr>
          <w:ilvl w:val="0"/>
          <w:numId w:val="4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评价结果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jc w:val="left"/>
        <w:textAlignment w:val="baseline"/>
        <w:numPr>
          <w:ilvl w:val="0"/>
          <w:numId w:val="0"/>
        </w:numPr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    监测期间奈曼旗净昊排水有限责任公司污水排放，所检项目均符合标准限值要求。</w:t>
      </w:r>
    </w:p>
    <w:sectPr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p_0(0_3|D,0_4|D,0,0_8|D);
</file>