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奈曼旗固日班花苏木进行2021年度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“防范非法集资宣传月”活动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2021年6月25日，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为了严厉打击非法集资活动，维护正常的社会稳定，保护广大人民群众的切身利益，根据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奈曼旗处置非法集资工作领导小组办公室文件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关于开展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2021年防范非法集资宣传月活动的通知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》精神，固日班花苏木平安建设办公室、固日班花公安派出所、固日班花司法所在苏木集贸市场联合开展了防范非法集资宣传活动，进一步从源头上做好处理非法集资相关宣传工作。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活动通过拉起主题横幅、现场讲解、发放宣传资料、手册等形式，使群众对非法集资的真面目及危害性有了较为清晰的认知，增强了风险防范意识，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共发放各类宣传品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80025" cy="3131820"/>
            <wp:effectExtent l="0" t="0" r="15875" b="11430"/>
            <wp:docPr id="8" name="图片 8" descr="4366c7be2657b6255854fd3f0e2d4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66c7be2657b6255854fd3f0e2d4e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217" w:firstLineChars="68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865" cy="3131820"/>
            <wp:effectExtent l="0" t="0" r="6985" b="11430"/>
            <wp:docPr id="2" name="图片 2" descr="24662d7e44261aafc8ddf381bef9c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662d7e44261aafc8ddf381bef9c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2" w:leftChars="103" w:hanging="16" w:hangingChars="5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208655"/>
            <wp:effectExtent l="0" t="0" r="10160" b="10795"/>
            <wp:docPr id="9" name="图片 9" descr="98c63c1367d453a65332928464b9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c63c1367d453a65332928464b913c"/>
                    <pic:cNvPicPr>
                      <a:picLocks noChangeAspect="1"/>
                    </pic:cNvPicPr>
                  </pic:nvPicPr>
                  <pic:blipFill>
                    <a:blip r:embed="rId6"/>
                    <a:srcRect b="1877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通过开展此次防范非法集资宣传月活动,营造了防范非法集资的良好氛围,提高了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辖区群众</w:t>
      </w:r>
      <w:r>
        <w:rPr>
          <w:rFonts w:hint="eastAsia" w:ascii="仿宋" w:hAnsi="仿宋" w:eastAsia="仿宋" w:cs="仿宋"/>
          <w:sz w:val="32"/>
          <w:szCs w:val="32"/>
        </w:rPr>
        <w:t>对非法集资危害性的认识和非法集资行为的识别能力,增强了风险防范和投资损益自我承担的责任意识。今后,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我苏木</w:t>
      </w:r>
      <w:r>
        <w:rPr>
          <w:rFonts w:hint="eastAsia" w:ascii="仿宋" w:hAnsi="仿宋" w:eastAsia="仿宋" w:cs="仿宋"/>
          <w:sz w:val="32"/>
          <w:szCs w:val="32"/>
        </w:rPr>
        <w:t>将进一步建立健全常态化的宣传教育工作机制,做好政策解读和舆论引导,切实维护好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苏木</w:t>
      </w:r>
      <w:r>
        <w:rPr>
          <w:rFonts w:hint="eastAsia" w:ascii="仿宋" w:hAnsi="仿宋" w:eastAsia="仿宋" w:cs="仿宋"/>
          <w:sz w:val="32"/>
          <w:szCs w:val="32"/>
        </w:rPr>
        <w:t>的安全稳定。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3405"/>
    <w:rsid w:val="088E234A"/>
    <w:rsid w:val="23FD07F8"/>
    <w:rsid w:val="27440580"/>
    <w:rsid w:val="2F081638"/>
    <w:rsid w:val="348C7EB4"/>
    <w:rsid w:val="3D27005F"/>
    <w:rsid w:val="3DB72688"/>
    <w:rsid w:val="42ED0E55"/>
    <w:rsid w:val="48BA5B30"/>
    <w:rsid w:val="50C66EBA"/>
    <w:rsid w:val="528E4C21"/>
    <w:rsid w:val="752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2021-06-25T07:33:00Z</dcterms:created>
  <dc:creator>Administrator</dc:creator>
  <cp:lastModifiedBy>ớ ₃ờ</cp:lastModifiedBy>
  <dcterms:modified xsi:type="dcterms:W3CDTF">2021-07-01T02:14:30Z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54FC0DAD853A4E31ABD37943A9E6F18E</vt:lpwstr>
  </property>
</Properties>
</file>