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11</w:t>
      </w:r>
    </w:p>
    <w:p>
      <w:pPr>
        <w:rPr>
          <w:rFonts w:hint="eastAsia" w:ascii="仿宋" w:hAnsi="仿宋" w:eastAsia="仿宋" w:cs="仿宋"/>
          <w:b/>
          <w:bCs/>
          <w:sz w:val="52"/>
          <w:szCs w:val="52"/>
          <w:lang w:val="en-US" w:eastAsia="zh-CN"/>
        </w:rPr>
      </w:pPr>
      <w:r>
        <w:drawing>
          <wp:inline distT="0" distB="0" distL="114300" distR="114300">
            <wp:extent cx="659130" cy="628015"/>
            <wp:effectExtent l="0" t="0" r="11430" b="12065"/>
            <wp:docPr id="28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3" name="图片 2"/>
                    <pic:cNvPicPr>
                      <a:picLocks noChangeAspect="1"/>
                    </pic:cNvPicPr>
                  </pic:nvPicPr>
                  <pic:blipFill>
                    <a:blip r:embed="rId4"/>
                    <a:stretch>
                      <a:fillRect/>
                    </a:stretch>
                  </pic:blipFill>
                  <pic:spPr>
                    <a:xfrm>
                      <a:off x="0" y="0"/>
                      <a:ext cx="659130" cy="628015"/>
                    </a:xfrm>
                    <a:prstGeom prst="rect">
                      <a:avLst/>
                    </a:prstGeom>
                    <a:noFill/>
                    <a:ln w="9525">
                      <a:noFill/>
                    </a:ln>
                  </pic:spPr>
                </pic:pic>
              </a:graphicData>
            </a:graphic>
          </wp:inline>
        </w:drawing>
      </w:r>
      <w:r>
        <w:rPr>
          <w:rFonts w:hint="eastAsia"/>
          <w:lang w:val="en-US" w:eastAsia="zh-CN"/>
        </w:rPr>
        <w:t xml:space="preserve">        </w:t>
      </w:r>
      <w:r>
        <w:rPr>
          <w:rFonts w:hint="eastAsia" w:ascii="仿宋" w:hAnsi="仿宋" w:eastAsia="仿宋" w:cs="仿宋"/>
          <w:b/>
          <w:bCs/>
          <w:sz w:val="52"/>
          <w:szCs w:val="52"/>
          <w:lang w:val="en-US" w:eastAsia="zh-CN"/>
        </w:rPr>
        <w:t xml:space="preserve">    公     示</w:t>
      </w:r>
    </w:p>
    <w:p>
      <w:pPr>
        <w:rPr>
          <w:rFonts w:hint="eastAsia" w:ascii="仿宋" w:hAnsi="仿宋" w:eastAsia="仿宋" w:cs="仿宋"/>
          <w:b w:val="0"/>
          <w:bCs w:val="0"/>
          <w:sz w:val="32"/>
          <w:szCs w:val="32"/>
          <w:lang w:val="en-US" w:eastAsia="zh-CN"/>
        </w:rPr>
      </w:pPr>
      <w:r>
        <w:rPr>
          <w:rFonts w:hint="eastAsia" w:ascii="仿宋" w:hAnsi="仿宋" w:eastAsia="仿宋" w:cs="仿宋"/>
          <w:b/>
          <w:bCs/>
          <w:sz w:val="52"/>
          <w:szCs w:val="52"/>
          <w:lang w:val="en-US" w:eastAsia="zh-CN"/>
        </w:rPr>
        <w:t xml:space="preserve">  </w:t>
      </w:r>
      <w:r>
        <w:rPr>
          <w:rFonts w:hint="eastAsia" w:ascii="仿宋" w:hAnsi="仿宋" w:eastAsia="仿宋" w:cs="仿宋"/>
          <w:b w:val="0"/>
          <w:bCs w:val="0"/>
          <w:sz w:val="32"/>
          <w:szCs w:val="32"/>
          <w:lang w:val="en-US" w:eastAsia="zh-CN"/>
        </w:rPr>
        <w:t>经村民代表大会一致通过的一事一议财政奖补建设项目有关内容公示如下：</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一：项目名称：村内道路安装路灯项目</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二：项目建设内容：计划在我嘎查三个自然村村内道路安装6米高路灯200盏，其中英特70盏、宝沁他拉70盏、干珠60盏；路灯安装间距为50米，建设工期：2021年6月1日---2021年11月30日。</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三：项目投资概算：800000.00元；</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四：资金来源：</w:t>
      </w:r>
    </w:p>
    <w:p>
      <w:pPr>
        <w:numPr>
          <w:ilvl w:val="0"/>
          <w:numId w:val="1"/>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筹资总额 0 元，筹资标准 0元/人，筹资人数 0 人；</w:t>
      </w:r>
    </w:p>
    <w:p>
      <w:pPr>
        <w:numPr>
          <w:ilvl w:val="0"/>
          <w:numId w:val="1"/>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筹劳总数 0 个，筹劳标准 0个/人，筹劳人数0人；</w:t>
      </w:r>
    </w:p>
    <w:p>
      <w:pPr>
        <w:numPr>
          <w:ilvl w:val="0"/>
          <w:numId w:val="1"/>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嘎查村集体投入金额 80000.00元；</w:t>
      </w:r>
    </w:p>
    <w:p>
      <w:pPr>
        <w:numPr>
          <w:ilvl w:val="0"/>
          <w:numId w:val="1"/>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其他企业个人社会捐助金额 0 元；</w:t>
      </w:r>
    </w:p>
    <w:p>
      <w:pPr>
        <w:numPr>
          <w:ilvl w:val="0"/>
          <w:numId w:val="1"/>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苏木乡镇出资金额 0 元；</w:t>
      </w:r>
    </w:p>
    <w:p>
      <w:pPr>
        <w:numPr>
          <w:ilvl w:val="0"/>
          <w:numId w:val="1"/>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整合其他资金 0 元；</w:t>
      </w:r>
    </w:p>
    <w:p>
      <w:pPr>
        <w:numPr>
          <w:ilvl w:val="0"/>
          <w:numId w:val="1"/>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财政奖补资金 720000.00元；</w:t>
      </w:r>
    </w:p>
    <w:p>
      <w:pPr>
        <w:numPr>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五：建设工期：2021年6月1日至2021年11月30日；</w:t>
      </w:r>
    </w:p>
    <w:p>
      <w:pPr>
        <w:numPr>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六：旗县综改办举报监督电话：</w:t>
      </w:r>
    </w:p>
    <w:p>
      <w:pPr>
        <w:numPr>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大沁他拉镇英特嘎查委员会</w:t>
      </w:r>
    </w:p>
    <w:p>
      <w:pPr>
        <w:numPr>
          <w:numId w:val="0"/>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2021年4月25日</w:t>
      </w:r>
    </w:p>
    <w:p>
      <w:pPr>
        <w:ind w:firstLine="640" w:firstLineChars="200"/>
        <w:rPr>
          <w:rFonts w:hint="default" w:ascii="仿宋" w:hAnsi="仿宋" w:eastAsia="仿宋" w:cs="仿宋"/>
          <w:b w:val="0"/>
          <w:bCs w:val="0"/>
          <w:sz w:val="32"/>
          <w:szCs w:val="32"/>
          <w:lang w:val="en-US" w:eastAsia="zh-CN"/>
        </w:rPr>
      </w:pPr>
    </w:p>
    <w:sectPr>
      <w:pgSz w:w="11906" w:h="16838"/>
      <w:pgMar w:top="930" w:right="1463" w:bottom="93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74A3"/>
    <w:multiLevelType w:val="singleLevel"/>
    <w:tmpl w:val="8DB774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06341"/>
    <w:rsid w:val="4C90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2021-04-22T13:34:00Z</dcterms:created>
  <dc:creator>▍ 封心ぃ</dc:creator>
  <cp:lastModifiedBy>▍ 封心ぃ</cp:lastModifiedBy>
  <dcterms:modified xsi:type="dcterms:W3CDTF">2021-04-22T13:48:37Z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F8B822A526F4483086C6DB517BC8959D</vt:lpwstr>
  </property>
</Properties>
</file>