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sz w:val="44"/>
          <w:szCs w:val="44"/>
          <w:lang w:val="en-US" w:eastAsia="zh-CN"/>
        </w:rPr>
        <w:t>奈曼旗医疗保障局召开党风廉政建设</w:t>
      </w:r>
    </w:p>
    <w:p>
      <w:pPr>
        <w:jc w:val="center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暨警示教育大会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3月18日，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奈曼旗医疗保障局召开党风廉政建设暨警示教育大会，医疗保障局班子成员、全体干部职工参加会议。会上，对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2021年党风廉政建设和反腐败工作进行了安排部署，观看了《正风反腐就在身边》专题片。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71770" cy="2973070"/>
            <wp:effectExtent l="0" t="0" r="5080" b="17780"/>
            <wp:docPr id="3" name="图片 3" descr="74bd090537f5714bf7a196d8cf334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4bd090537f5714bf7a196d8cf334b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7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会议强调，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加强党风廉政建设和反腐败斗争，必须把带头做到“两个维护”作为最高政治原则和根本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instrText xml:space="preserve"> HYPERLINK "http://www.wm114.cn/0o/40/index.html"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政治规矩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，必须把践行“两个维护”贯穿到工作的各个环节，切实将“两个维护”落实到工作中、体现到行动上。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加强政治理论和党纪法规的学习。通过学党史、讲党课、举办专题培训班、专题研讨班、观看警示教育片等形式，深入学习领会习近平总书记关于全面从严治党重要论述、有关医保工作重要指示批示精神，使党员干部时刻绷紧“廉政”这根弦。每名党员、干部要严格遵守《自治区医疗保障系统工作人员15条禁令》，筑牢思想防线，增强预防腐败的免疫能力，时刻自重自省自警自励，慎独慎微慎始慎终，做政治信念坚定、遵规守纪的明白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5271770" cy="2973070"/>
            <wp:effectExtent l="0" t="0" r="5080" b="17780"/>
            <wp:docPr id="4" name="图片 4" descr="aedea77e117242f32bb7a85a481df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edea77e117242f32bb7a85a481dff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7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D3DEB"/>
    <w:rsid w:val="5D8D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2021-03-18T13:04:00Z</dcterms:created>
  <dc:creator>Administrator</dc:creator>
  <cp:lastModifiedBy>清宇轩</cp:lastModifiedBy>
  <dcterms:modified xsi:type="dcterms:W3CDTF">2021-03-18T13:29:40Z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