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奈曼旗接待办公室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2020年度党风廉政建设与反腐败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Style w:val="5"/>
          <w:rFonts w:hint="default" w:asciiTheme="majorEastAsia" w:hAnsiTheme="majorEastAsia" w:eastAsiaTheme="majorEastAsia" w:cstheme="majorEastAsia"/>
          <w:b/>
          <w:bCs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为深入贯彻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旗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委关于推进党风廉政建设和反腐败工作的安排和部署，加强党风廉政建设责任制，推进党风廉政建设，推动全面从严治党向纵深发展，结合我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工作实际，特制定20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年党风廉政建设和反腐败工作计划。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严格履行从严治党主体责任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jc w:val="both"/>
        <w:textAlignment w:val="auto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把党的政治建设放在首位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严明党的政治纪律和政治规矩，加强党内政治生活监督，把维护党中央权威和集中统一领导落到实处，认真贯彻执行《关于新形势下党的政治生活的若干准则》、《中国共产党党内监督条例》，始终把握正确的政治方向，坚定政治立场和政治原则，领导班子成员要</w:t>
      </w:r>
      <w:r>
        <w:rPr>
          <w:rStyle w:val="5"/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带头抓好落实，为党员干部严肃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党内政治生活做好表率。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（二）加强对党风廉政建设工作的领导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牢固树立班子成员“抓好党风廉政建设是本职、抓不好是不称职、不抓是失职”的责任意识，切实增强落实“主体责任”的自觉性和坚定性，紧密围绕中心工作，认真分解任务，层层压实责任。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 w:firstLineChars="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坚决落实中央八项规定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jc w:val="both"/>
        <w:textAlignment w:val="auto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严格贯彻落实《廉洁自律准则》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党员干部特别是领导干部要带头执行廉洁自律相关规定，切实做到不出入私人会所，不违规接受宴请，操办婚丧嫁娶等事宜如实报备，紧抓全年各重要节日节点，密切关注有禁不止、吃喝风“化整为零”，送礼风“化实为虚”的现象，严肃查处和惩处违反中央八项规定精神的行为，进一步加强党员干部日常管理，领导对单位的党员干部要经常性的教育提醒，确保廉洁自律要求落实到位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加强单位财务管理力度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提升单位财务人员业务水平，按照相关要求，规范购买、报销等程序，确保经费安全。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不断深化遵规守纪思想教育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加强理论学习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把理论学习作为领导班子提高理论修养，强化政治意识的主阵地，以深入学习习近平新时代中国特色社会主义思想为主干，进一步统一思想、坚定“四个自信”，广泛学习政治理论、经济发展、人文历史等方面的相关知识，同时，把党规党纪、廉政制度、反腐倡廉要求作为重要学习内容，形成学纪学廉的“头雁效应”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开展廉政主题教育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把廉政教育和党员日常教育相结合，大力加强党员的党性教育、政治教育和纪律教育，组织警示教育基地参观等活动，进一步巩固廉洁自律思想防线。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大力加强日常监督管理力度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规范权力运行程序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严格遵守“三重一大”决策程序和规则，强化决策全过程管理，坚持民主集中制，严格遵守“三重一大”决策前期酝酿、集体决策、决议执行与监督等相关程序，确保“三重一大”制度落实到位。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落实个人有关事项报告制度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按时上报领导干部个人有关事项，如实报告个人信息，杜绝隐瞒、漏报问题。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全力支持纪检监察工作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配合派驻纪检组工作。要积极配合派驻纪检组开展监督执纪工作，主动接受监督，认真落实派驻组部署的各项工作。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奈曼旗接待办公室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2020年1月20日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1E1C9"/>
    <w:multiLevelType w:val="singleLevel"/>
    <w:tmpl w:val="8671E1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07854D"/>
    <w:multiLevelType w:val="singleLevel"/>
    <w:tmpl w:val="B70785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C97290C"/>
    <w:multiLevelType w:val="singleLevel"/>
    <w:tmpl w:val="EC9729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F436204"/>
    <w:multiLevelType w:val="singleLevel"/>
    <w:tmpl w:val="FF4362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BA959B0"/>
    <w:multiLevelType w:val="singleLevel"/>
    <w:tmpl w:val="0BA959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dcterms:modified xsi:type="dcterms:W3CDTF">2020-11-17T08:06:07Z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