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公 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伊和乌苏嘎查庙屯自然村于2019年4月打水源井一眼，项目建成后解决了全村70户200口人安全饮水，其中解决贫困户18户66口人的安全饮水问题。现予以公示。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伊和乌苏嘎查委员会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2019年4月25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公 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default" w:ascii="仿宋" w:hAnsi="仿宋" w:eastAsia="仿宋" w:cs="仿宋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720" w:firstLineChars="200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伊和乌苏嘎查伊和乌苏自然村于2020年5月打水源井一眼，井房一座，连接主管道。项目建成后解决了全村155户458口人安全饮水，其中解决贫困户12户25口人的安全饮水问题。现予以公示。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伊和乌苏嘎查委员会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righ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2020年5月1日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33294"/>
    <w:rsid w:val="08F43C2A"/>
    <w:rsid w:val="18F75C49"/>
    <w:rsid w:val="1DE14722"/>
    <w:rsid w:val="225A2E77"/>
    <w:rsid w:val="270D62AB"/>
    <w:rsid w:val="2A940419"/>
    <w:rsid w:val="30F61E21"/>
    <w:rsid w:val="3C955481"/>
    <w:rsid w:val="4A5B789A"/>
    <w:rsid w:val="54DA69E0"/>
    <w:rsid w:val="602237D0"/>
    <w:rsid w:val="6344759D"/>
    <w:rsid w:val="6694012E"/>
    <w:rsid w:val="6A617688"/>
    <w:rsid w:val="71C33294"/>
    <w:rsid w:val="7DEF40F0"/>
    <w:rsid w:val="7EC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2020-11-05T01:17:00Z</dcterms:created>
  <dc:creator>静默如初</dc:creator>
  <cp:lastModifiedBy>三口之家</cp:lastModifiedBy>
  <cp:lastPrinted>2020-11-09T03:17:00Z</cp:lastPrinted>
  <dcterms:modified xsi:type="dcterms:W3CDTF">2020-11-09T05:17:26Z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