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3313" w:hanging="3313" w:hangingChars="1100"/>
        <w:jc w:val="center"/>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白政发</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 xml:space="preserve"> </w:t>
      </w:r>
      <w:r>
        <w:rPr>
          <w:rFonts w:hint="eastAsia" w:ascii="仿宋_GB2312" w:hAnsi="仿宋_GB2312" w:eastAsia="仿宋_GB2312" w:cs="仿宋_GB2312"/>
          <w:b/>
          <w:sz w:val="30"/>
          <w:szCs w:val="30"/>
        </w:rPr>
        <w:t>20</w:t>
      </w:r>
      <w:r>
        <w:rPr>
          <w:rFonts w:hint="eastAsia" w:ascii="仿宋_GB2312" w:hAnsi="仿宋_GB2312" w:eastAsia="仿宋_GB2312" w:cs="仿宋_GB2312"/>
          <w:b/>
          <w:sz w:val="30"/>
          <w:szCs w:val="30"/>
          <w:lang w:val="en-US" w:eastAsia="zh-CN"/>
        </w:rPr>
        <w:t xml:space="preserve">20 </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 xml:space="preserve"> 35 </w:t>
      </w:r>
      <w:r>
        <w:rPr>
          <w:rFonts w:hint="eastAsia" w:ascii="仿宋_GB2312" w:hAnsi="仿宋_GB2312" w:eastAsia="仿宋_GB2312" w:cs="仿宋_GB2312"/>
          <w:b/>
          <w:sz w:val="30"/>
          <w:szCs w:val="30"/>
        </w:rPr>
        <w:t>号</w:t>
      </w:r>
    </w:p>
    <w:p>
      <w:pPr>
        <w:jc w:val="both"/>
        <w:rPr>
          <w:sz w:val="15"/>
          <w:szCs w:val="15"/>
        </w:rPr>
      </w:pPr>
    </w:p>
    <w:p>
      <w:pPr>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白音他拉苏木关于第三次国土调查成果与</w:t>
      </w:r>
    </w:p>
    <w:p>
      <w:pPr>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永久基本农田成果叠加实地非耕地的说明</w:t>
      </w:r>
    </w:p>
    <w:p>
      <w:pPr>
        <w:pStyle w:val="2"/>
        <w:rPr>
          <w:rFonts w:hint="eastAsia"/>
        </w:rPr>
      </w:pPr>
    </w:p>
    <w:p>
      <w:pPr>
        <w:ind w:firstLine="600" w:firstLineChars="200"/>
        <w:jc w:val="left"/>
        <w:rPr>
          <w:rFonts w:hint="eastAsia"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依据《自然资源部</w:t>
      </w:r>
      <w:r>
        <w:rPr>
          <w:rFonts w:hint="eastAsia" w:ascii="仿宋_GB2312" w:hAnsi="仿宋_GB2312" w:eastAsia="仿宋_GB2312" w:cs="仿宋_GB2312"/>
          <w:color w:val="000000"/>
          <w:kern w:val="0"/>
          <w:sz w:val="30"/>
          <w:szCs w:val="30"/>
          <w:lang w:bidi="ar"/>
        </w:rPr>
        <w:t xml:space="preserve"> </w:t>
      </w:r>
      <w:r>
        <w:rPr>
          <w:rFonts w:ascii="仿宋_GB2312" w:hAnsi="仿宋_GB2312" w:eastAsia="仿宋_GB2312" w:cs="仿宋_GB2312"/>
          <w:color w:val="000000"/>
          <w:kern w:val="0"/>
          <w:sz w:val="30"/>
          <w:szCs w:val="30"/>
          <w:lang w:bidi="ar"/>
        </w:rPr>
        <w:t>农业农村部关于加强和改进永久基本农田保护工作的通知》（自然资规〔2019〕1 号）、《内蒙古自治区自然资源厅农牧厅关于加强和改进永久基本农田保护工作的通知</w:t>
      </w:r>
      <w:r>
        <w:rPr>
          <w:rFonts w:hint="eastAsia" w:ascii="仿宋_GB2312" w:hAnsi="仿宋_GB2312" w:eastAsia="仿宋_GB2312" w:cs="仿宋_GB2312"/>
          <w:color w:val="000000"/>
          <w:kern w:val="0"/>
          <w:sz w:val="30"/>
          <w:szCs w:val="30"/>
          <w:lang w:bidi="ar"/>
        </w:rPr>
        <w:t>》</w:t>
      </w:r>
      <w:r>
        <w:rPr>
          <w:rFonts w:ascii="仿宋_GB2312" w:hAnsi="仿宋_GB2312" w:eastAsia="仿宋_GB2312" w:cs="仿宋_GB2312"/>
          <w:color w:val="000000"/>
          <w:kern w:val="0"/>
          <w:sz w:val="30"/>
          <w:szCs w:val="30"/>
          <w:lang w:bidi="ar"/>
        </w:rPr>
        <w:t>（内自然资字〔2019〕145 号）、《关于进一步推进全区永久基本农田整改补划工作的通知》（内自然资字</w:t>
      </w:r>
      <w:r>
        <w:rPr>
          <w:rFonts w:hint="eastAsia" w:ascii="仿宋_GB2312" w:hAnsi="仿宋_GB2312" w:eastAsia="仿宋_GB2312" w:cs="仿宋_GB2312"/>
          <w:color w:val="000000"/>
          <w:kern w:val="0"/>
          <w:sz w:val="30"/>
          <w:szCs w:val="30"/>
          <w:lang w:bidi="ar"/>
        </w:rPr>
        <w:t>[</w:t>
      </w:r>
      <w:r>
        <w:rPr>
          <w:rFonts w:ascii="仿宋_GB2312" w:hAnsi="仿宋_GB2312" w:eastAsia="仿宋_GB2312" w:cs="仿宋_GB2312"/>
          <w:color w:val="000000"/>
          <w:kern w:val="0"/>
          <w:sz w:val="30"/>
          <w:szCs w:val="30"/>
          <w:lang w:bidi="ar"/>
        </w:rPr>
        <w:t>2020</w:t>
      </w:r>
      <w:r>
        <w:rPr>
          <w:rFonts w:hint="eastAsia" w:ascii="仿宋_GB2312" w:hAnsi="仿宋_GB2312" w:eastAsia="仿宋_GB2312" w:cs="仿宋_GB2312"/>
          <w:color w:val="000000"/>
          <w:kern w:val="0"/>
          <w:sz w:val="30"/>
          <w:szCs w:val="30"/>
          <w:lang w:bidi="ar"/>
        </w:rPr>
        <w:t>]</w:t>
      </w:r>
      <w:r>
        <w:rPr>
          <w:rFonts w:ascii="仿宋_GB2312" w:hAnsi="仿宋_GB2312" w:eastAsia="仿宋_GB2312" w:cs="仿宋_GB2312"/>
          <w:color w:val="000000"/>
          <w:kern w:val="0"/>
          <w:sz w:val="30"/>
          <w:szCs w:val="30"/>
          <w:lang w:bidi="ar"/>
        </w:rPr>
        <w:t>12</w:t>
      </w:r>
      <w:r>
        <w:rPr>
          <w:rFonts w:hint="eastAsia" w:ascii="仿宋_GB2312" w:hAnsi="仿宋_GB2312" w:eastAsia="仿宋_GB2312" w:cs="仿宋_GB2312"/>
          <w:color w:val="000000"/>
          <w:kern w:val="0"/>
          <w:sz w:val="30"/>
          <w:szCs w:val="30"/>
          <w:lang w:bidi="ar"/>
        </w:rPr>
        <w:t>1</w:t>
      </w:r>
      <w:r>
        <w:rPr>
          <w:rFonts w:ascii="仿宋_GB2312" w:hAnsi="仿宋_GB2312" w:eastAsia="仿宋_GB2312" w:cs="仿宋_GB2312"/>
          <w:color w:val="000000"/>
          <w:kern w:val="0"/>
          <w:sz w:val="30"/>
          <w:szCs w:val="30"/>
          <w:lang w:bidi="ar"/>
        </w:rPr>
        <w:t>号）和《内蒙古自治区永久基本农田整改补划工作方案》</w:t>
      </w:r>
      <w:r>
        <w:rPr>
          <w:rFonts w:hint="eastAsia" w:ascii="仿宋_GB2312" w:hAnsi="仿宋_GB2312" w:eastAsia="仿宋_GB2312" w:cs="仿宋_GB2312"/>
          <w:color w:val="000000"/>
          <w:kern w:val="0"/>
          <w:sz w:val="30"/>
          <w:szCs w:val="30"/>
          <w:lang w:bidi="ar"/>
        </w:rPr>
        <w:t>要求和审查要点，本次永久基本农田整改图斑位于我苏木所辖范围的整改面积</w:t>
      </w:r>
      <w:r>
        <w:rPr>
          <w:rFonts w:ascii="仿宋_GB2312" w:hAnsi="仿宋_GB2312" w:eastAsia="仿宋_GB2312" w:cs="仿宋_GB2312"/>
          <w:color w:val="000000"/>
          <w:kern w:val="0"/>
          <w:sz w:val="30"/>
          <w:szCs w:val="30"/>
          <w:lang w:bidi="ar"/>
        </w:rPr>
        <w:t>176.5249</w:t>
      </w:r>
      <w:r>
        <w:rPr>
          <w:rFonts w:hint="eastAsia" w:ascii="仿宋_GB2312" w:hAnsi="仿宋_GB2312" w:eastAsia="仿宋_GB2312" w:cs="仿宋_GB2312"/>
          <w:color w:val="000000"/>
          <w:kern w:val="0"/>
          <w:sz w:val="30"/>
          <w:szCs w:val="30"/>
          <w:lang w:bidi="ar"/>
        </w:rPr>
        <w:t>公顷，涉及图斑1086块，其中城镇住宅用地</w:t>
      </w:r>
      <w:r>
        <w:rPr>
          <w:rFonts w:ascii="仿宋_GB2312" w:hAnsi="仿宋_GB2312" w:eastAsia="仿宋_GB2312" w:cs="仿宋_GB2312"/>
          <w:color w:val="000000"/>
          <w:kern w:val="0"/>
          <w:sz w:val="30"/>
          <w:szCs w:val="30"/>
          <w:lang w:bidi="ar"/>
        </w:rPr>
        <w:t>0.0363</w:t>
      </w:r>
      <w:r>
        <w:rPr>
          <w:rFonts w:hint="eastAsia" w:ascii="仿宋_GB2312" w:hAnsi="仿宋_GB2312" w:eastAsia="仿宋_GB2312" w:cs="仿宋_GB2312"/>
          <w:color w:val="000000"/>
          <w:kern w:val="0"/>
          <w:sz w:val="30"/>
          <w:szCs w:val="30"/>
          <w:lang w:bidi="ar"/>
        </w:rPr>
        <w:t>公顷、工业用地</w:t>
      </w:r>
      <w:r>
        <w:rPr>
          <w:rFonts w:ascii="仿宋_GB2312" w:hAnsi="仿宋_GB2312" w:eastAsia="仿宋_GB2312" w:cs="仿宋_GB2312"/>
          <w:color w:val="000000"/>
          <w:kern w:val="0"/>
          <w:sz w:val="30"/>
          <w:szCs w:val="30"/>
          <w:lang w:bidi="ar"/>
        </w:rPr>
        <w:t>1.0131</w:t>
      </w:r>
      <w:r>
        <w:rPr>
          <w:rFonts w:hint="eastAsia" w:ascii="仿宋_GB2312" w:hAnsi="仿宋_GB2312" w:eastAsia="仿宋_GB2312" w:cs="仿宋_GB2312"/>
          <w:color w:val="000000"/>
          <w:kern w:val="0"/>
          <w:sz w:val="30"/>
          <w:szCs w:val="30"/>
          <w:lang w:bidi="ar"/>
        </w:rPr>
        <w:t>公顷、公路用地</w:t>
      </w:r>
      <w:r>
        <w:rPr>
          <w:rFonts w:ascii="仿宋_GB2312" w:hAnsi="仿宋_GB2312" w:eastAsia="仿宋_GB2312" w:cs="仿宋_GB2312"/>
          <w:color w:val="000000"/>
          <w:kern w:val="0"/>
          <w:sz w:val="30"/>
          <w:szCs w:val="30"/>
          <w:lang w:bidi="ar"/>
        </w:rPr>
        <w:t>1.1733</w:t>
      </w:r>
      <w:r>
        <w:rPr>
          <w:rFonts w:hint="eastAsia" w:ascii="仿宋_GB2312" w:hAnsi="仿宋_GB2312" w:eastAsia="仿宋_GB2312" w:cs="仿宋_GB2312"/>
          <w:color w:val="000000"/>
          <w:kern w:val="0"/>
          <w:sz w:val="30"/>
          <w:szCs w:val="30"/>
          <w:lang w:bidi="ar"/>
        </w:rPr>
        <w:t>公顷、灌木林地</w:t>
      </w:r>
      <w:r>
        <w:rPr>
          <w:rFonts w:ascii="仿宋_GB2312" w:hAnsi="仿宋_GB2312" w:eastAsia="仿宋_GB2312" w:cs="仿宋_GB2312"/>
          <w:color w:val="000000"/>
          <w:kern w:val="0"/>
          <w:sz w:val="30"/>
          <w:szCs w:val="30"/>
          <w:lang w:bidi="ar"/>
        </w:rPr>
        <w:t>12.2487</w:t>
      </w:r>
      <w:r>
        <w:rPr>
          <w:rFonts w:hint="eastAsia" w:ascii="仿宋_GB2312" w:hAnsi="仿宋_GB2312" w:eastAsia="仿宋_GB2312" w:cs="仿宋_GB2312"/>
          <w:color w:val="000000"/>
          <w:kern w:val="0"/>
          <w:sz w:val="30"/>
          <w:szCs w:val="30"/>
          <w:lang w:bidi="ar"/>
        </w:rPr>
        <w:t>公顷、河流水面</w:t>
      </w:r>
      <w:r>
        <w:rPr>
          <w:rFonts w:ascii="仿宋_GB2312" w:hAnsi="仿宋_GB2312" w:eastAsia="仿宋_GB2312" w:cs="仿宋_GB2312"/>
          <w:color w:val="000000"/>
          <w:kern w:val="0"/>
          <w:sz w:val="30"/>
          <w:szCs w:val="30"/>
          <w:lang w:bidi="ar"/>
        </w:rPr>
        <w:t>0.0574</w:t>
      </w:r>
      <w:r>
        <w:rPr>
          <w:rFonts w:hint="eastAsia" w:ascii="仿宋_GB2312" w:hAnsi="仿宋_GB2312" w:eastAsia="仿宋_GB2312" w:cs="仿宋_GB2312"/>
          <w:color w:val="000000"/>
          <w:kern w:val="0"/>
          <w:sz w:val="30"/>
          <w:szCs w:val="30"/>
          <w:lang w:bidi="ar"/>
        </w:rPr>
        <w:t>公顷、机关团体新闻出版用地</w:t>
      </w:r>
    </w:p>
    <w:p>
      <w:pPr>
        <w:ind w:firstLine="600" w:firstLineChars="200"/>
        <w:jc w:val="left"/>
        <w:rPr>
          <w:rFonts w:hint="eastAsia" w:ascii="仿宋_GB2312" w:hAnsi="仿宋_GB2312" w:eastAsia="仿宋_GB2312" w:cs="仿宋_GB2312"/>
          <w:color w:val="000000"/>
          <w:kern w:val="0"/>
          <w:sz w:val="30"/>
          <w:szCs w:val="30"/>
          <w:lang w:bidi="ar"/>
        </w:rPr>
      </w:pPr>
    </w:p>
    <w:p>
      <w:pPr>
        <w:jc w:val="left"/>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0.0045</w:t>
      </w:r>
      <w:r>
        <w:rPr>
          <w:rFonts w:hint="eastAsia" w:ascii="仿宋_GB2312" w:hAnsi="仿宋_GB2312" w:eastAsia="仿宋_GB2312" w:cs="仿宋_GB2312"/>
          <w:color w:val="000000"/>
          <w:kern w:val="0"/>
          <w:sz w:val="30"/>
          <w:szCs w:val="30"/>
          <w:lang w:bidi="ar"/>
        </w:rPr>
        <w:t>公顷、科教文卫用地0.0057公顷、农村宅基地</w:t>
      </w:r>
      <w:r>
        <w:rPr>
          <w:rFonts w:ascii="仿宋_GB2312" w:hAnsi="仿宋_GB2312" w:eastAsia="仿宋_GB2312" w:cs="仿宋_GB2312"/>
          <w:color w:val="000000"/>
          <w:kern w:val="0"/>
          <w:sz w:val="30"/>
          <w:szCs w:val="30"/>
          <w:lang w:bidi="ar"/>
        </w:rPr>
        <w:t>5.8475</w:t>
      </w:r>
      <w:r>
        <w:rPr>
          <w:rFonts w:hint="eastAsia" w:ascii="仿宋_GB2312" w:hAnsi="仿宋_GB2312" w:eastAsia="仿宋_GB2312" w:cs="仿宋_GB2312"/>
          <w:color w:val="000000"/>
          <w:kern w:val="0"/>
          <w:sz w:val="30"/>
          <w:szCs w:val="30"/>
          <w:lang w:bidi="ar"/>
        </w:rPr>
        <w:t>公顷、其他草地</w:t>
      </w:r>
      <w:r>
        <w:rPr>
          <w:rFonts w:ascii="仿宋_GB2312" w:hAnsi="仿宋_GB2312" w:eastAsia="仿宋_GB2312" w:cs="仿宋_GB2312"/>
          <w:color w:val="000000"/>
          <w:kern w:val="0"/>
          <w:sz w:val="30"/>
          <w:szCs w:val="30"/>
          <w:lang w:bidi="ar"/>
        </w:rPr>
        <w:t>3.1318</w:t>
      </w:r>
      <w:r>
        <w:rPr>
          <w:rFonts w:hint="eastAsia" w:ascii="仿宋_GB2312" w:hAnsi="仿宋_GB2312" w:eastAsia="仿宋_GB2312" w:cs="仿宋_GB2312"/>
          <w:color w:val="000000"/>
          <w:kern w:val="0"/>
          <w:sz w:val="30"/>
          <w:szCs w:val="30"/>
          <w:lang w:bidi="ar"/>
        </w:rPr>
        <w:t>公顷、其他林地</w:t>
      </w:r>
      <w:r>
        <w:rPr>
          <w:rFonts w:ascii="仿宋_GB2312" w:hAnsi="仿宋_GB2312" w:eastAsia="仿宋_GB2312" w:cs="仿宋_GB2312"/>
          <w:color w:val="000000"/>
          <w:kern w:val="0"/>
          <w:sz w:val="30"/>
          <w:szCs w:val="30"/>
          <w:lang w:bidi="ar"/>
        </w:rPr>
        <w:t>28.7285</w:t>
      </w:r>
      <w:r>
        <w:rPr>
          <w:rFonts w:hint="eastAsia" w:ascii="仿宋_GB2312" w:hAnsi="仿宋_GB2312" w:eastAsia="仿宋_GB2312" w:cs="仿宋_GB2312"/>
          <w:color w:val="000000"/>
          <w:kern w:val="0"/>
          <w:sz w:val="30"/>
          <w:szCs w:val="30"/>
          <w:lang w:bidi="ar"/>
        </w:rPr>
        <w:t>公顷、乔木林地</w:t>
      </w:r>
      <w:r>
        <w:rPr>
          <w:rFonts w:ascii="仿宋_GB2312" w:hAnsi="仿宋_GB2312" w:eastAsia="仿宋_GB2312" w:cs="仿宋_GB2312"/>
          <w:color w:val="000000"/>
          <w:kern w:val="0"/>
          <w:sz w:val="30"/>
          <w:szCs w:val="30"/>
          <w:lang w:bidi="ar"/>
        </w:rPr>
        <w:t>115.7372</w:t>
      </w:r>
      <w:r>
        <w:rPr>
          <w:rFonts w:hint="eastAsia" w:ascii="仿宋_GB2312" w:hAnsi="仿宋_GB2312" w:eastAsia="仿宋_GB2312" w:cs="仿宋_GB2312"/>
          <w:color w:val="000000"/>
          <w:kern w:val="0"/>
          <w:sz w:val="30"/>
          <w:szCs w:val="30"/>
          <w:lang w:bidi="ar"/>
        </w:rPr>
        <w:t>公顷、设施农用地</w:t>
      </w:r>
      <w:r>
        <w:rPr>
          <w:rFonts w:ascii="仿宋_GB2312" w:hAnsi="仿宋_GB2312" w:eastAsia="仿宋_GB2312" w:cs="仿宋_GB2312"/>
          <w:color w:val="000000"/>
          <w:kern w:val="0"/>
          <w:sz w:val="30"/>
          <w:szCs w:val="30"/>
          <w:lang w:bidi="ar"/>
        </w:rPr>
        <w:t>5.9414</w:t>
      </w:r>
      <w:r>
        <w:rPr>
          <w:rFonts w:hint="eastAsia" w:ascii="仿宋_GB2312" w:hAnsi="仿宋_GB2312" w:eastAsia="仿宋_GB2312" w:cs="仿宋_GB2312"/>
          <w:color w:val="000000"/>
          <w:kern w:val="0"/>
          <w:sz w:val="30"/>
          <w:szCs w:val="30"/>
          <w:lang w:bidi="ar"/>
        </w:rPr>
        <w:t>公顷、天然牧草地</w:t>
      </w:r>
      <w:r>
        <w:rPr>
          <w:rFonts w:ascii="仿宋_GB2312" w:hAnsi="仿宋_GB2312" w:eastAsia="仿宋_GB2312" w:cs="仿宋_GB2312"/>
          <w:color w:val="000000"/>
          <w:kern w:val="0"/>
          <w:sz w:val="30"/>
          <w:szCs w:val="30"/>
          <w:lang w:bidi="ar"/>
        </w:rPr>
        <w:t>1.6463</w:t>
      </w:r>
      <w:r>
        <w:rPr>
          <w:rFonts w:hint="eastAsia" w:ascii="仿宋_GB2312" w:hAnsi="仿宋_GB2312" w:eastAsia="仿宋_GB2312" w:cs="仿宋_GB2312"/>
          <w:color w:val="000000"/>
          <w:kern w:val="0"/>
          <w:sz w:val="30"/>
          <w:szCs w:val="30"/>
          <w:lang w:bidi="ar"/>
        </w:rPr>
        <w:t>公顷、铁路用地</w:t>
      </w:r>
      <w:r>
        <w:rPr>
          <w:rFonts w:ascii="仿宋_GB2312" w:hAnsi="仿宋_GB2312" w:eastAsia="仿宋_GB2312" w:cs="仿宋_GB2312"/>
          <w:color w:val="000000"/>
          <w:kern w:val="0"/>
          <w:sz w:val="30"/>
          <w:szCs w:val="30"/>
          <w:lang w:bidi="ar"/>
        </w:rPr>
        <w:t>0.7398</w:t>
      </w:r>
      <w:r>
        <w:rPr>
          <w:rFonts w:hint="eastAsia" w:ascii="仿宋_GB2312" w:hAnsi="仿宋_GB2312" w:eastAsia="仿宋_GB2312" w:cs="仿宋_GB2312"/>
          <w:color w:val="000000"/>
          <w:kern w:val="0"/>
          <w:sz w:val="30"/>
          <w:szCs w:val="30"/>
          <w:lang w:bidi="ar"/>
        </w:rPr>
        <w:t>公顷、物流仓储用地</w:t>
      </w:r>
      <w:r>
        <w:rPr>
          <w:rFonts w:ascii="仿宋_GB2312" w:hAnsi="仿宋_GB2312" w:eastAsia="仿宋_GB2312" w:cs="仿宋_GB2312"/>
          <w:color w:val="000000"/>
          <w:kern w:val="0"/>
          <w:sz w:val="30"/>
          <w:szCs w:val="30"/>
          <w:lang w:bidi="ar"/>
        </w:rPr>
        <w:t>0.2135</w:t>
      </w:r>
      <w:r>
        <w:rPr>
          <w:rFonts w:hint="eastAsia" w:ascii="仿宋_GB2312" w:hAnsi="仿宋_GB2312" w:eastAsia="仿宋_GB2312" w:cs="仿宋_GB2312"/>
          <w:color w:val="000000"/>
          <w:kern w:val="0"/>
          <w:sz w:val="30"/>
          <w:szCs w:val="30"/>
          <w:lang w:bidi="ar"/>
        </w:rPr>
        <w:t>公顷。</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对比历年影像及实地核实调查，形成时间均在2017年6月底前，属于划定不实，近五年内均未耕种，已不能恢复粮食作物生产。</w:t>
      </w:r>
    </w:p>
    <w:p>
      <w:pPr>
        <w:pStyle w:val="2"/>
        <w:rPr>
          <w:rFonts w:hint="eastAsia" w:ascii="仿宋_GB2312" w:hAnsi="仿宋_GB2312" w:eastAsia="仿宋_GB2312" w:cs="仿宋_GB2312"/>
          <w:color w:val="000000"/>
          <w:kern w:val="0"/>
          <w:sz w:val="30"/>
          <w:szCs w:val="30"/>
          <w:lang w:bidi="ar"/>
        </w:rPr>
      </w:pPr>
    </w:p>
    <w:p>
      <w:pPr>
        <w:jc w:val="righ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奈曼旗白音他拉苏木人民政府</w:t>
      </w:r>
    </w:p>
    <w:p>
      <w:pPr>
        <w:pStyle w:val="3"/>
      </w:pPr>
      <w:r>
        <w:rPr>
          <w:rFonts w:hint="eastAsia" w:ascii="仿宋_GB2312" w:hAnsi="仿宋_GB2312" w:eastAsia="仿宋_GB2312" w:cs="仿宋_GB2312"/>
          <w:color w:val="000000"/>
          <w:kern w:val="0"/>
          <w:sz w:val="30"/>
          <w:szCs w:val="30"/>
          <w:lang w:bidi="ar"/>
        </w:rPr>
        <w:t xml:space="preserve">                                2020年6月2日</w:t>
      </w:r>
    </w:p>
    <w:p>
      <w:pPr>
        <w:rPr>
          <w:rFonts w:ascii="仿宋_GB2312" w:hAnsi="仿宋_GB2312" w:eastAsia="仿宋_GB2312" w:cs="仿宋_GB2312"/>
          <w:color w:val="000000"/>
          <w:kern w:val="0"/>
          <w:sz w:val="30"/>
          <w:szCs w:val="30"/>
          <w:lang w:bidi="ar"/>
        </w:rPr>
      </w:pPr>
      <w:r>
        <w:rPr>
          <w:rFonts w:hint="eastAsia"/>
          <w:sz w:val="30"/>
          <w:szCs w:val="30"/>
        </w:rPr>
        <w:t xml:space="preserve">    </w:t>
      </w:r>
      <w:r>
        <w:rPr>
          <w:rFonts w:hint="eastAsia" w:ascii="仿宋_GB2312" w:hAnsi="仿宋_GB2312" w:eastAsia="仿宋_GB2312" w:cs="仿宋_GB2312"/>
          <w:color w:val="000000"/>
          <w:kern w:val="0"/>
          <w:sz w:val="30"/>
          <w:szCs w:val="30"/>
          <w:lang w:bidi="ar"/>
        </w:rPr>
        <w:t xml:space="preserve"> </w:t>
      </w:r>
    </w:p>
    <w:p>
      <w:pPr>
        <w:rPr>
          <w:rFonts w:ascii="仿宋_GB2312" w:hAnsi="仿宋_GB2312" w:eastAsia="仿宋_GB2312" w:cs="仿宋_GB2312"/>
          <w:color w:val="000000"/>
          <w:kern w:val="0"/>
          <w:sz w:val="30"/>
          <w:szCs w:val="30"/>
          <w:lang w:bidi="ar"/>
        </w:rPr>
        <w:sectPr>
          <w:pgSz w:w="11906" w:h="16838"/>
          <w:pgMar w:top="1440" w:right="1800" w:bottom="1440" w:left="1800" w:header="851" w:footer="992" w:gutter="0"/>
          <w:cols w:space="720" w:num="1"/>
          <w:docGrid w:type="lines" w:linePitch="312" w:charSpace="0"/>
        </w:sectPr>
      </w:pPr>
    </w:p>
    <w:tbl>
      <w:tblPr>
        <w:tblStyle w:val="5"/>
        <w:tblW w:w="9655" w:type="dxa"/>
        <w:tblInd w:w="89" w:type="dxa"/>
        <w:tblLayout w:type="fixed"/>
        <w:tblCellMar>
          <w:top w:w="0" w:type="dxa"/>
          <w:left w:w="108" w:type="dxa"/>
          <w:bottom w:w="0" w:type="dxa"/>
          <w:right w:w="108" w:type="dxa"/>
        </w:tblCellMar>
      </w:tblPr>
      <w:tblGrid>
        <w:gridCol w:w="817"/>
        <w:gridCol w:w="2110"/>
        <w:gridCol w:w="1696"/>
        <w:gridCol w:w="1086"/>
        <w:gridCol w:w="1525"/>
        <w:gridCol w:w="2421"/>
      </w:tblGrid>
      <w:tr>
        <w:tblPrEx>
          <w:tblCellMar>
            <w:top w:w="0" w:type="dxa"/>
            <w:left w:w="108" w:type="dxa"/>
            <w:bottom w:w="0" w:type="dxa"/>
            <w:right w:w="108" w:type="dxa"/>
          </w:tblCellMar>
        </w:tblPrEx>
        <w:trPr>
          <w:trHeight w:val="450" w:hRule="atLeast"/>
        </w:trPr>
        <w:tc>
          <w:tcPr>
            <w:tcW w:w="9655"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附件：</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kern w:val="0"/>
                <w:szCs w:val="21"/>
              </w:rPr>
            </w:pPr>
            <w:r>
              <w:rPr>
                <w:rFonts w:hint="eastAsia" w:ascii="宋体" w:hAnsi="宋体" w:cs="Arial"/>
                <w:kern w:val="0"/>
                <w:sz w:val="30"/>
                <w:szCs w:val="30"/>
              </w:rPr>
              <w:t>白音</w:t>
            </w:r>
            <w:r>
              <w:rPr>
                <w:rFonts w:hint="eastAsia" w:ascii="宋体" w:hAnsi="宋体" w:cs="Arial"/>
                <w:kern w:val="0"/>
                <w:sz w:val="30"/>
                <w:szCs w:val="30"/>
                <w:lang w:eastAsia="zh-CN"/>
              </w:rPr>
              <w:t>他</w:t>
            </w:r>
            <w:r>
              <w:rPr>
                <w:rFonts w:hint="eastAsia" w:ascii="宋体" w:hAnsi="宋体" w:cs="Arial"/>
                <w:kern w:val="0"/>
                <w:sz w:val="30"/>
                <w:szCs w:val="30"/>
              </w:rPr>
              <w:t>拉苏木永久基本农田调出地块涉</w:t>
            </w:r>
            <w:bookmarkStart w:id="0" w:name="_GoBack"/>
            <w:bookmarkEnd w:id="0"/>
            <w:r>
              <w:rPr>
                <w:rFonts w:hint="eastAsia" w:ascii="宋体" w:hAnsi="宋体" w:cs="Arial"/>
                <w:kern w:val="0"/>
                <w:sz w:val="30"/>
                <w:szCs w:val="30"/>
              </w:rPr>
              <w:t>及各地类面积表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b/>
                <w:bCs/>
                <w:kern w:val="0"/>
                <w:sz w:val="18"/>
                <w:szCs w:val="18"/>
              </w:rPr>
            </w:pPr>
            <w:r>
              <w:rPr>
                <w:rFonts w:hint="eastAsia" w:ascii="宋体" w:hAnsi="宋体" w:cs="Arial"/>
                <w:b/>
                <w:bCs/>
                <w:kern w:val="0"/>
                <w:sz w:val="18"/>
                <w:szCs w:val="18"/>
              </w:rPr>
              <w:t>标识码</w:t>
            </w:r>
          </w:p>
        </w:tc>
        <w:tc>
          <w:tcPr>
            <w:tcW w:w="2110"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b/>
                <w:bCs/>
                <w:kern w:val="0"/>
                <w:sz w:val="18"/>
                <w:szCs w:val="18"/>
              </w:rPr>
            </w:pPr>
            <w:r>
              <w:rPr>
                <w:rFonts w:hint="eastAsia" w:ascii="宋体" w:hAnsi="宋体" w:cs="Arial"/>
                <w:b/>
                <w:bCs/>
                <w:kern w:val="0"/>
                <w:sz w:val="18"/>
                <w:szCs w:val="18"/>
              </w:rPr>
              <w:t>地类名称</w:t>
            </w:r>
          </w:p>
        </w:tc>
        <w:tc>
          <w:tcPr>
            <w:tcW w:w="1696"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b/>
                <w:bCs/>
                <w:kern w:val="0"/>
                <w:sz w:val="18"/>
                <w:szCs w:val="18"/>
              </w:rPr>
            </w:pPr>
            <w:r>
              <w:rPr>
                <w:rFonts w:hint="eastAsia" w:ascii="宋体" w:hAnsi="宋体" w:cs="Arial"/>
                <w:b/>
                <w:bCs/>
                <w:kern w:val="0"/>
                <w:sz w:val="18"/>
                <w:szCs w:val="18"/>
              </w:rPr>
              <w:t>权属单位名称</w:t>
            </w:r>
          </w:p>
        </w:tc>
        <w:tc>
          <w:tcPr>
            <w:tcW w:w="1086"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b/>
                <w:bCs/>
                <w:kern w:val="0"/>
                <w:sz w:val="18"/>
                <w:szCs w:val="18"/>
              </w:rPr>
            </w:pPr>
            <w:r>
              <w:rPr>
                <w:rFonts w:hint="eastAsia" w:ascii="宋体" w:hAnsi="宋体" w:cs="Arial"/>
                <w:b/>
                <w:bCs/>
                <w:kern w:val="0"/>
                <w:sz w:val="18"/>
                <w:szCs w:val="18"/>
              </w:rPr>
              <w:t>面积</w:t>
            </w:r>
            <w:r>
              <w:rPr>
                <w:rFonts w:ascii="Arial" w:hAnsi="Arial" w:cs="Arial"/>
                <w:b/>
                <w:bCs/>
                <w:kern w:val="0"/>
                <w:sz w:val="18"/>
                <w:szCs w:val="18"/>
              </w:rPr>
              <w:t>(</w:t>
            </w:r>
            <w:r>
              <w:rPr>
                <w:rFonts w:hint="eastAsia" w:ascii="宋体" w:hAnsi="宋体" w:cs="Arial"/>
                <w:b/>
                <w:bCs/>
                <w:kern w:val="0"/>
                <w:sz w:val="18"/>
                <w:szCs w:val="18"/>
              </w:rPr>
              <w:t>公顷</w:t>
            </w:r>
            <w:r>
              <w:rPr>
                <w:rFonts w:ascii="Arial" w:hAnsi="Arial" w:cs="Arial"/>
                <w:b/>
                <w:bCs/>
                <w:kern w:val="0"/>
                <w:sz w:val="18"/>
                <w:szCs w:val="18"/>
              </w:rPr>
              <w:t>)</w:t>
            </w:r>
          </w:p>
        </w:tc>
        <w:tc>
          <w:tcPr>
            <w:tcW w:w="1525"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b/>
                <w:bCs/>
                <w:kern w:val="0"/>
                <w:sz w:val="18"/>
                <w:szCs w:val="18"/>
              </w:rPr>
            </w:pPr>
            <w:r>
              <w:rPr>
                <w:rFonts w:hint="eastAsia" w:ascii="宋体" w:hAnsi="宋体" w:cs="Arial"/>
                <w:b/>
                <w:bCs/>
                <w:kern w:val="0"/>
                <w:sz w:val="18"/>
                <w:szCs w:val="18"/>
              </w:rPr>
              <w:t>形成时间</w:t>
            </w:r>
          </w:p>
        </w:tc>
        <w:tc>
          <w:tcPr>
            <w:tcW w:w="2421" w:type="dxa"/>
            <w:tcBorders>
              <w:top w:val="single" w:color="auto" w:sz="4" w:space="0"/>
              <w:left w:val="nil"/>
              <w:bottom w:val="single" w:color="auto" w:sz="4" w:space="0"/>
              <w:right w:val="single" w:color="auto" w:sz="4" w:space="0"/>
            </w:tcBorders>
            <w:shd w:val="clear" w:color="000000" w:fill="FFFFFF"/>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宋体" w:hAnsi="宋体" w:cs="Arial"/>
                <w:b/>
                <w:bCs/>
                <w:kern w:val="0"/>
                <w:sz w:val="18"/>
                <w:szCs w:val="18"/>
              </w:rPr>
            </w:pPr>
            <w:r>
              <w:rPr>
                <w:rFonts w:hint="eastAsia" w:ascii="宋体" w:hAnsi="宋体" w:cs="Arial"/>
                <w:b/>
                <w:bCs/>
                <w:kern w:val="0"/>
                <w:sz w:val="18"/>
                <w:szCs w:val="18"/>
              </w:rPr>
              <w:t>形成原因</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0.3413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0.3400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0.4004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0.4305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0.4860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0.3271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0.3528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0.4150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0.3233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0.7838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0.7440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0.3743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0.5892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0.5700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1.5942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0.5203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0.4108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0.5620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1.8070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0.3757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0.3403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0.4407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0.6061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0.7901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3.4545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0.6926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0.4839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0.7722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0.5852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0.4581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0.4459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0.5483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1.3740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1.3227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442718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442718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河流水面</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在河道水域和水利工程设施划界确权</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442730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442733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442733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0.3503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442737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乌龙台村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0.4239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0.6767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0.5690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0.3980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445085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桥河母树林场</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0.4553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0.3124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0.9700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0.5148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0.6339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0.8886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0.3589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1.2060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0.3936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1.3938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0.4056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0.7151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0.4772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0.3890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0.6313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1.4874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0.6251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0.4794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2.0244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445429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1.8715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0.6417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0.6129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0.3123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0.5557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0.5914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0.7558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0.3883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1.0462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0.5079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0.5234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0.6122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0.5578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1.5213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0.3280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0.3922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0.3436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0.4418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0.3497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0.3234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0.4322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3.3243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0.6645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0.8147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0.5999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0.6246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0.2498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0.2979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0.9743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0.4272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0.8297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0.7507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0.3995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0.2793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0.3331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0.5159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0.3097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0.5592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0.1737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天然牧草地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因二调与三调精度不同造成的碎图斑</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0.4249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448747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0.0736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0.2138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0.1682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0.2228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0.7188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0.5418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0.6570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1.1894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0.2582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0.0791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0.4285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1.8170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两局认定</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1.0963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0.3648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442887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苏布日干塔拉嘎查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其他草地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其他林地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灌木林地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防护林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乔木林地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田间林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441182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科教文卫用地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441199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0.0182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441255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伊和乌苏嘎查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449264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442329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包头嘎查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0.2627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442349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442353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当海尔嘎查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442403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0.0787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442414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苏布日嘎查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0.0269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2017年3月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448726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0.0314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442498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442520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道仑毛都村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0.0562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442546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0.0225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0.0868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442569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442570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0.1112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442595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0.0998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0.0144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0.1915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444484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乌呼仁塔日牙嘎查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445085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桥河母树林场</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0.0843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0.0275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445398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0.0215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城镇住宅用地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2017年5月以前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城镇住宅用地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0.0321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2017年5月以前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0.1276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0.0307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0.0355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0.1040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0.0185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445419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白音他拉村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0.0809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2017年3月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1.4733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物流仓储用地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445437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0.0189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0.1186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445442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0.2345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445455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0.1481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2017年4月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0.0153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0.0310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0.0149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物流仓储用地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0.2011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2017年6月以后</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核实地块</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0.0139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0.0938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3.7180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划定不实</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0.0472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工业用地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1.0131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二调三调精度造成的插边现象</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445468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铁路用地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希勃图村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0.1328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446648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2017年4月</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0.1503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446650</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哲日都村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449274</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0.0337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0.0051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449279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0.0684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0.0297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0.0099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0.0167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0.0571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0.2877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0.0152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0.0233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449289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0.0493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448739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0.0111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0.0358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448757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高图村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0.0677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公路用地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划定前已将建成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交通基础设施建设使用</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0.0460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0.0642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设施农用地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2016年5月之前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0.0332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0.0071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0.0440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0.0106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0.0179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449298</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0.0223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449299</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0.1813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0.0456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2017年6月前自建宅基地</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449302</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0.0713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449307</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满都拉呼嘎查</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0.0854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445483</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0.0064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445485</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0.0080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445471</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0.0042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机关团体新闻出版用地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0.0045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2017年5月前</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r>
        <w:tblPrEx>
          <w:tblCellMar>
            <w:top w:w="0" w:type="dxa"/>
            <w:left w:w="108" w:type="dxa"/>
            <w:bottom w:w="0" w:type="dxa"/>
            <w:right w:w="108" w:type="dxa"/>
          </w:tblCellMar>
        </w:tblPrEx>
        <w:trPr>
          <w:trHeight w:val="255"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445476</w:t>
            </w:r>
          </w:p>
        </w:tc>
        <w:tc>
          <w:tcPr>
            <w:tcW w:w="2110"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农村宅基地</w:t>
            </w:r>
          </w:p>
        </w:tc>
        <w:tc>
          <w:tcPr>
            <w:tcW w:w="169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奈林浩来村</w:t>
            </w:r>
          </w:p>
        </w:tc>
        <w:tc>
          <w:tcPr>
            <w:tcW w:w="1086"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 xml:space="preserve">0.0827 </w:t>
            </w:r>
          </w:p>
        </w:tc>
        <w:tc>
          <w:tcPr>
            <w:tcW w:w="1525"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多年形成</w:t>
            </w:r>
          </w:p>
        </w:tc>
        <w:tc>
          <w:tcPr>
            <w:tcW w:w="2421"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ascii="Arial" w:hAnsi="Arial" w:cs="Arial"/>
                <w:kern w:val="0"/>
                <w:sz w:val="18"/>
                <w:szCs w:val="18"/>
              </w:rPr>
            </w:pPr>
            <w:r>
              <w:rPr>
                <w:rFonts w:ascii="Arial" w:hAnsi="Arial" w:cs="Arial"/>
                <w:kern w:val="0"/>
                <w:sz w:val="18"/>
                <w:szCs w:val="18"/>
              </w:rPr>
              <w:t>二调三调精度造成的插边</w:t>
            </w:r>
          </w:p>
        </w:tc>
      </w:tr>
    </w:tbl>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color w:val="000000"/>
          <w:kern w:val="0"/>
          <w:sz w:val="30"/>
          <w:szCs w:val="30"/>
          <w:lang w:bidi="ar"/>
        </w:rPr>
      </w:pPr>
    </w:p>
    <w:p>
      <w:pPr>
        <w:rPr>
          <w:rFonts w:hint="eastAsia" w:ascii="仿宋_GB2312" w:hAnsi="仿宋_GB2312" w:eastAsia="仿宋_GB2312" w:cs="仿宋_GB2312"/>
          <w:color w:val="000000"/>
          <w:kern w:val="0"/>
          <w:sz w:val="30"/>
          <w:szCs w:val="30"/>
          <w:lang w:bidi="ar"/>
        </w:rPr>
      </w:pPr>
    </w:p>
    <w:p>
      <w:pPr>
        <w:ind w:right="600"/>
        <w:jc w:val="center"/>
        <w:rPr>
          <w:rFonts w:ascii="仿宋_GB2312" w:hAnsi="仿宋_GB2312" w:eastAsia="仿宋_GB2312" w:cs="仿宋_GB2312"/>
          <w:color w:val="000000"/>
          <w:kern w:val="0"/>
          <w:sz w:val="30"/>
          <w:szCs w:val="30"/>
          <w:lang w:bidi="ar"/>
        </w:rPr>
      </w:pPr>
    </w:p>
    <w:p>
      <w:pPr>
        <w:pStyle w:val="2"/>
      </w:pPr>
    </w:p>
    <w:sectPr>
      <w:pgSz w:w="11906" w:h="16838"/>
      <w:pgMar w:top="1191"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30C73"/>
    <w:rsid w:val="271F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1"/>
    <w:next w:val="3"/>
    <w:qFormat/>
    <w:uiPriority w:val="0"/>
    <w:pPr>
      <w:ind w:firstLine="420" w:firstLineChars="100"/>
    </w:pPr>
  </w:style>
  <w:style w:type="paragraph" w:styleId="3">
    <w:name w:val="Body Text First Indent 2"/>
    <w:basedOn w:val="4"/>
    <w:qFormat/>
    <w:uiPriority w:val="0"/>
    <w:pPr>
      <w:widowControl/>
      <w:tabs>
        <w:tab w:val="left" w:pos="360"/>
        <w:tab w:val="left" w:pos="540"/>
        <w:tab w:val="left" w:pos="720"/>
        <w:tab w:val="left" w:pos="1800"/>
      </w:tabs>
      <w:ind w:firstLine="420" w:firstLineChars="200"/>
      <w:jc w:val="left"/>
    </w:pPr>
    <w:rPr>
      <w:rFonts w:ascii="Calibri" w:hAnsi="Calibri"/>
      <w:kern w:val="0"/>
      <w:sz w:val="24"/>
      <w:lang w:eastAsia="en-US" w:bidi="en-US"/>
    </w:rPr>
  </w:style>
  <w:style w:type="paragraph" w:styleId="4">
    <w:name w:val="Body Text Indent"/>
    <w:basedOn w:val="1"/>
    <w:qFormat/>
    <w:uiPriority w:val="0"/>
    <w:pPr>
      <w:ind w:firstLine="675"/>
      <w:jc w:val="left"/>
    </w:pPr>
    <w:rPr>
      <w:rFonts w:ascii="宋体" w:hAnsi="宋体"/>
      <w:spacing w:val="4"/>
      <w:kern w:val="40"/>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2020-06-03T07:33:00Z</dcterms:created>
  <dc:creator>必力格</dc:creator>
  <cp:lastModifiedBy>必力格</cp:lastModifiedBy>
  <cp:lastPrinted>2020-06-03T07:45:40Z</cp:lastPrinted>
  <dcterms:modified xsi:type="dcterms:W3CDTF">2020-06-03T07:50:33Z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