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4153"/>
          <w:tab w:val="left" w:pos="7410"/>
        </w:tabs>
        <w:jc w:val="center"/>
        <w:rPr>
          <w:rFonts w:hint="eastAsia" w:ascii="黑体" w:hAnsi="黑体" w:eastAsia="黑体" w:cs="黑体"/>
          <w:b/>
          <w:bCs/>
          <w:sz w:val="44"/>
          <w:szCs w:val="44"/>
        </w:rPr>
      </w:pPr>
      <w:r>
        <w:rPr>
          <w:rFonts w:hint="eastAsia" w:ascii="黑体" w:hAnsi="黑体" w:eastAsia="黑体" w:cs="黑体"/>
          <w:b/>
          <w:bCs/>
          <w:sz w:val="44"/>
          <w:szCs w:val="44"/>
        </w:rPr>
        <w:t>述职</w:t>
      </w:r>
      <w:r>
        <w:rPr>
          <w:rFonts w:hint="eastAsia" w:ascii="黑体" w:hAnsi="黑体" w:eastAsia="黑体" w:cs="黑体"/>
          <w:b/>
          <w:bCs/>
          <w:sz w:val="44"/>
          <w:szCs w:val="44"/>
          <w:lang w:eastAsia="zh-CN"/>
        </w:rPr>
        <w:t>述廉</w:t>
      </w:r>
      <w:r>
        <w:rPr>
          <w:rFonts w:hint="eastAsia" w:ascii="黑体" w:hAnsi="黑体" w:eastAsia="黑体" w:cs="黑体"/>
          <w:b/>
          <w:bCs/>
          <w:sz w:val="44"/>
          <w:szCs w:val="44"/>
        </w:rPr>
        <w:t>报告</w:t>
      </w:r>
    </w:p>
    <w:p>
      <w:pPr>
        <w:keepNext w:val="0"/>
        <w:keepLines w:val="0"/>
        <w:pageBreakBefore w:val="0"/>
        <w:widowControl w:val="0"/>
        <w:tabs>
          <w:tab w:val="center" w:pos="4153"/>
          <w:tab w:val="left" w:pos="7410"/>
        </w:tabs>
        <w:kinsoku/>
        <w:wordWrap/>
        <w:overflowPunct/>
        <w:topLinePunct w:val="0"/>
        <w:autoSpaceDE/>
        <w:autoSpaceDN/>
        <w:bidi w:val="0"/>
        <w:adjustRightInd/>
        <w:snapToGrid/>
        <w:spacing w:line="360" w:lineRule="exact"/>
        <w:jc w:val="center"/>
        <w:textAlignment w:val="auto"/>
        <w:outlineLvl w:val="9"/>
        <w:rPr>
          <w:rFonts w:hint="eastAsia" w:ascii="黑体" w:hAnsi="黑体" w:eastAsia="黑体" w:cs="黑体"/>
          <w:b/>
          <w:bCs/>
          <w:sz w:val="44"/>
          <w:szCs w:val="44"/>
        </w:rPr>
      </w:pP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outlineLvl w:val="9"/>
        <w:rPr>
          <w:rFonts w:hint="eastAsia" w:ascii="楷体_GB2312" w:eastAsia="楷体_GB2312"/>
          <w:sz w:val="30"/>
          <w:szCs w:val="30"/>
        </w:rPr>
      </w:pPr>
      <w:r>
        <w:rPr>
          <w:rFonts w:hint="eastAsia" w:ascii="楷体_GB2312" w:eastAsia="楷体_GB2312"/>
          <w:sz w:val="30"/>
          <w:szCs w:val="30"/>
        </w:rPr>
        <w:t>固日班花苏木人大主席   其木格</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outlineLvl w:val="9"/>
        <w:rPr>
          <w:rFonts w:hint="eastAsia" w:ascii="楷体_GB2312" w:eastAsia="楷体_GB2312"/>
          <w:sz w:val="30"/>
          <w:szCs w:val="30"/>
        </w:rPr>
      </w:pP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outlineLvl w:val="9"/>
        <w:rPr>
          <w:rFonts w:hint="eastAsia" w:ascii="楷体_GB2312" w:eastAsia="楷体_GB2312"/>
          <w:sz w:val="30"/>
          <w:szCs w:val="30"/>
          <w:lang w:eastAsia="zh-CN"/>
        </w:rPr>
      </w:pPr>
      <w:r>
        <w:rPr>
          <w:rFonts w:hint="eastAsia" w:ascii="楷体_GB2312" w:eastAsia="楷体_GB2312"/>
          <w:sz w:val="30"/>
          <w:szCs w:val="30"/>
          <w:lang w:eastAsia="zh-CN"/>
        </w:rPr>
        <w:t>（</w:t>
      </w:r>
      <w:r>
        <w:rPr>
          <w:rFonts w:hint="eastAsia" w:ascii="楷体_GB2312" w:eastAsia="楷体_GB2312"/>
          <w:sz w:val="30"/>
          <w:szCs w:val="30"/>
          <w:lang w:val="en-US" w:eastAsia="zh-CN"/>
        </w:rPr>
        <w:t>2019年12月</w:t>
      </w:r>
      <w:r>
        <w:rPr>
          <w:rFonts w:hint="eastAsia" w:ascii="楷体_GB2312" w:eastAsia="楷体_GB2312"/>
          <w:sz w:val="30"/>
          <w:szCs w:val="30"/>
          <w:lang w:eastAsia="zh-CN"/>
        </w:rPr>
        <w:t>）</w:t>
      </w:r>
      <w:bookmarkStart w:id="0" w:name="_GoBack"/>
      <w:bookmarkEnd w:id="0"/>
    </w:p>
    <w:p>
      <w:pPr>
        <w:jc w:val="center"/>
        <w:rPr>
          <w:rFonts w:hint="eastAsia"/>
          <w:sz w:val="30"/>
          <w:szCs w:val="30"/>
        </w:rPr>
      </w:pPr>
    </w:p>
    <w:p>
      <w:pPr>
        <w:ind w:firstLine="630"/>
        <w:rPr>
          <w:rFonts w:hint="eastAsia"/>
          <w:sz w:val="32"/>
          <w:szCs w:val="32"/>
        </w:rPr>
      </w:pPr>
      <w:r>
        <w:rPr>
          <w:rFonts w:hint="eastAsia"/>
          <w:sz w:val="32"/>
          <w:szCs w:val="32"/>
        </w:rPr>
        <w:t>2019年，在苏木党委的坚强领导和旗人大的有力指导下，认真领会党的十九精神，进一步增强“四个意识”，坚定“四个自信”和两个维护，以高度的责任感，务实的工作作风积极完成了各项工作任务。</w:t>
      </w:r>
    </w:p>
    <w:p>
      <w:pPr>
        <w:ind w:firstLine="630"/>
        <w:rPr>
          <w:rFonts w:hint="eastAsia"/>
          <w:b/>
          <w:sz w:val="32"/>
          <w:szCs w:val="32"/>
        </w:rPr>
      </w:pPr>
      <w:r>
        <w:rPr>
          <w:rFonts w:hint="eastAsia"/>
          <w:b/>
          <w:sz w:val="32"/>
          <w:szCs w:val="32"/>
        </w:rPr>
        <w:t>一、认真完成党委中心工作</w:t>
      </w:r>
    </w:p>
    <w:p>
      <w:pPr>
        <w:ind w:firstLine="630"/>
        <w:rPr>
          <w:rFonts w:hint="eastAsia"/>
          <w:sz w:val="32"/>
          <w:szCs w:val="32"/>
        </w:rPr>
      </w:pPr>
      <w:r>
        <w:rPr>
          <w:rFonts w:hint="eastAsia"/>
          <w:sz w:val="32"/>
          <w:szCs w:val="32"/>
        </w:rPr>
        <w:t>根据工作分工，完成了各嘎查村2020年项目库的建立及审核把关上报工作；脱贫攻坚中认真负责所包户的宣传政策，落实扶持项目，巩固产业项目等工作，保证了贫困户的正常脱贫；包片工作，一是协调交通局为哈日淖尔嘎查修通3公里村村通路，便利了群众的出行。二是优化呼拉斯台嘎查两委班子，重新选举产生了村委会。三是围绕“不忘初心，牢记使命”主题教育活动，在巴日嘎斯台嘎查区域党校讲党课，进一步增强了农村党员的使命感和起到带头模范作用的决心。四是解决南图嘎查修路纠纷问题，如期完成了工程。</w:t>
      </w:r>
      <w:r>
        <w:rPr>
          <w:rFonts w:hint="eastAsia"/>
          <w:b/>
          <w:sz w:val="32"/>
          <w:szCs w:val="32"/>
        </w:rPr>
        <w:t>二、稳步推进人大工作</w:t>
      </w:r>
    </w:p>
    <w:p>
      <w:pPr>
        <w:ind w:firstLine="630"/>
        <w:rPr>
          <w:rFonts w:hint="eastAsia"/>
          <w:sz w:val="32"/>
          <w:szCs w:val="32"/>
        </w:rPr>
      </w:pPr>
      <w:r>
        <w:rPr>
          <w:rFonts w:hint="eastAsia"/>
          <w:sz w:val="32"/>
          <w:szCs w:val="32"/>
        </w:rPr>
        <w:t>年内，苏木人大依法履行监督职责，改进和完善监督方式，切实提高监督成效。</w:t>
      </w:r>
    </w:p>
    <w:p>
      <w:pPr>
        <w:ind w:firstLine="630"/>
        <w:rPr>
          <w:rFonts w:hint="eastAsia"/>
          <w:sz w:val="32"/>
          <w:szCs w:val="32"/>
        </w:rPr>
      </w:pPr>
      <w:r>
        <w:rPr>
          <w:rFonts w:hint="eastAsia"/>
          <w:sz w:val="32"/>
          <w:szCs w:val="32"/>
        </w:rPr>
        <w:t>一是人大监督工作有新举措。督办代表议案、建议是苏木人大工作主要抓手之一，为了代表提出的建议得到有效解决，5月份苏木人大召开代表建议意见交办会，把代表们提出的6类12个意见一对一的交办于相关站办所并要求按期完成办理工作。11月初召开本年度第二次人代会，听取了相关站办所办理代表建议意见情况的报告并进行满意度测评有提高了人大监督实效，涉及到群众利益的问题得到了有效解决。</w:t>
      </w:r>
    </w:p>
    <w:p>
      <w:pPr>
        <w:ind w:firstLine="630"/>
        <w:rPr>
          <w:rFonts w:hint="eastAsia"/>
          <w:sz w:val="32"/>
          <w:szCs w:val="32"/>
        </w:rPr>
      </w:pPr>
      <w:r>
        <w:rPr>
          <w:rFonts w:hint="eastAsia"/>
          <w:sz w:val="32"/>
          <w:szCs w:val="32"/>
        </w:rPr>
        <w:t>二是代表发挥作用有新进展。苏木人大围绕党委中心工作，宣传发动旗乡两代表在脱贫攻坚工作中发挥作用。年内有 14 名代表积极参与脱贫攻坚工作，共捐物捐款4000余元。</w:t>
      </w:r>
    </w:p>
    <w:p>
      <w:pPr>
        <w:ind w:firstLine="630"/>
        <w:rPr>
          <w:rFonts w:hint="eastAsia"/>
          <w:sz w:val="32"/>
          <w:szCs w:val="32"/>
        </w:rPr>
      </w:pPr>
      <w:r>
        <w:rPr>
          <w:rFonts w:hint="eastAsia"/>
          <w:sz w:val="32"/>
          <w:szCs w:val="32"/>
        </w:rPr>
        <w:t>三是代表小组活动更加丰富。代表小组活动是人大代表闭会期间履职主要形式。8月份苏木人大组织部分代表对《农村环境卫生整治管理暂行办法》落实情况进行视察；12月份召开代表小组座谈形式征集议案和建议1件上报旗人大办。</w:t>
      </w:r>
    </w:p>
    <w:p>
      <w:pPr>
        <w:ind w:firstLine="630"/>
        <w:rPr>
          <w:rFonts w:hint="eastAsia"/>
          <w:sz w:val="32"/>
          <w:szCs w:val="32"/>
        </w:rPr>
      </w:pPr>
      <w:r>
        <w:rPr>
          <w:rFonts w:hint="eastAsia"/>
          <w:sz w:val="32"/>
          <w:szCs w:val="32"/>
        </w:rPr>
        <w:t>四是完善代表之家建设为代表履职提供平台。按着九有标准完善代表之家建设，组织主席团成员在会议期间认真履职顺利召开人代会，并结合会议强调主席团成员的职责职能；闭会期间召开一次主席团联系代表会，共同学习了代表权利义务履职常识，强化了主席团成员及代表们的业务素质。</w:t>
      </w:r>
    </w:p>
    <w:p>
      <w:pPr>
        <w:ind w:firstLine="630"/>
        <w:rPr>
          <w:rFonts w:hint="eastAsia"/>
          <w:sz w:val="32"/>
          <w:szCs w:val="32"/>
        </w:rPr>
      </w:pPr>
      <w:r>
        <w:rPr>
          <w:rFonts w:hint="eastAsia"/>
          <w:sz w:val="32"/>
          <w:szCs w:val="32"/>
        </w:rPr>
        <w:t>五是认真处理人大信访工作。年内共接访处理 14 件群众反映的问题，使每件问题都得到了满意的答复。</w:t>
      </w:r>
    </w:p>
    <w:p>
      <w:pPr>
        <w:ind w:firstLine="630"/>
        <w:rPr>
          <w:rFonts w:hint="eastAsia"/>
          <w:sz w:val="32"/>
          <w:szCs w:val="32"/>
        </w:rPr>
      </w:pPr>
      <w:r>
        <w:rPr>
          <w:rFonts w:hint="eastAsia"/>
          <w:sz w:val="32"/>
          <w:szCs w:val="32"/>
        </w:rPr>
        <w:t>总结一年工作收获不少同时存在很多不足之处，比如代表之家发挥作用不够，代表调研、视察等活动开展的少等等，在2020年工作中加以改进，努力使各项工作有更好的成绩。</w:t>
      </w:r>
    </w:p>
    <w:p>
      <w:pPr>
        <w:ind w:firstLine="630"/>
        <w:rPr>
          <w:rFonts w:hint="eastAsia"/>
          <w:sz w:val="32"/>
          <w:szCs w:val="32"/>
        </w:rPr>
      </w:pPr>
    </w:p>
    <w:p>
      <w:pPr>
        <w:ind w:firstLine="630"/>
        <w:rPr>
          <w:rFonts w:hint="eastAsia"/>
          <w:sz w:val="32"/>
          <w:szCs w:val="32"/>
        </w:rPr>
      </w:pPr>
    </w:p>
    <w:p>
      <w:pPr>
        <w:ind w:firstLine="630"/>
        <w:rPr>
          <w:rFonts w:hint="eastAsia"/>
          <w:sz w:val="32"/>
          <w:szCs w:val="32"/>
        </w:rPr>
      </w:pPr>
    </w:p>
    <w:p>
      <w:pPr>
        <w:ind w:firstLine="630"/>
        <w:rPr>
          <w:rFonts w:hint="eastAsia"/>
          <w:sz w:val="32"/>
          <w:szCs w:val="32"/>
        </w:rPr>
      </w:pPr>
    </w:p>
    <w:p>
      <w:pPr>
        <w:ind w:firstLine="630"/>
        <w:rPr>
          <w:rFonts w:hint="eastAsia"/>
          <w:sz w:val="32"/>
          <w:szCs w:val="32"/>
        </w:rPr>
      </w:pPr>
    </w:p>
    <w:p>
      <w:pPr>
        <w:ind w:firstLine="630"/>
        <w:rPr>
          <w:rFonts w:hint="eastAsia"/>
          <w:sz w:val="32"/>
          <w:szCs w:val="32"/>
        </w:rPr>
      </w:pPr>
    </w:p>
    <w:p>
      <w:pPr>
        <w:ind w:firstLine="630"/>
        <w:rPr>
          <w:rFonts w:hint="eastAsia"/>
          <w:sz w:val="32"/>
          <w:szCs w:val="32"/>
        </w:rPr>
      </w:pPr>
    </w:p>
    <w:p>
      <w:pPr>
        <w:ind w:firstLine="630"/>
        <w:rPr>
          <w:rFonts w:hint="eastAsia"/>
          <w:sz w:val="32"/>
          <w:szCs w:val="32"/>
        </w:rPr>
      </w:pPr>
    </w:p>
    <w:p>
      <w:pPr>
        <w:ind w:firstLine="630"/>
        <w:rPr>
          <w:rFonts w:hint="eastAsia"/>
          <w:sz w:val="32"/>
          <w:szCs w:val="32"/>
        </w:rPr>
      </w:pPr>
    </w:p>
    <w:p>
      <w:pPr>
        <w:jc w:val="both"/>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8077DB"/>
    <w:rsid w:val="6ACE5556"/>
    <w:rsid w:val="6FE1537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2019-12-28T11:25:55Z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