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bookmarkStart w:id="5" w:name="_GoBack"/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述职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述廉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固日班花苏木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党委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书记  常成</w:t>
      </w:r>
    </w:p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  <w:t>2019年12月）</w:t>
      </w:r>
    </w:p>
    <w:bookmarkEnd w:id="5"/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按照会议安排，现将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履行党委书记职责，抓好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instrText xml:space="preserve"> HYPERLINK "https://www.liuxue86.com/dangjian/" \t "https://www.liuxue86.com/a/_blank"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党建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工作的相关情况作如下汇报，请予评议。</w:t>
      </w: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一、始终坚持把抓班子、带队伍作为党建工作的首要任务</w:t>
      </w:r>
    </w:p>
    <w:p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为了更好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提高党员干部的思想政治素质，苏木以“提高素质，增强党性”为目标，采取行之有效的措施，力求取得实效。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20" w:lineRule="exact"/>
        <w:ind w:right="0" w:firstLine="643" w:firstLineChars="200"/>
        <w:textAlignment w:val="auto"/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（一）聚焦主业主责，强化党的政治建设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树牢“四个意识”、坚定“四个自信”，做到“两个维护”，坚决贯彻党中央各项决策部署，把党的建设作为主业主责，全年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组织学习22次，邀请专家做讲座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次，观看专题片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次。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在“七一”期间对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33个先进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进行表彰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将4个软弱涣散党组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织整顿到位。与22个党支部书记开展了谈心谈话，有效推动了基层党建工作任务落实。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N/>
        <w:bidi w:val="0"/>
        <w:adjustRightInd/>
        <w:snapToGrid/>
        <w:spacing w:line="520" w:lineRule="exact"/>
        <w:ind w:leftChars="196" w:right="0" w:rightChars="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bookmarkStart w:id="0" w:name="_Toc501701962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（二）聚焦主题主线，推动主题教育走深走实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开展“十百千万”访谈活动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共收集到建议意见307条，已梳理归类6大类，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目前已整改完成19项。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成立6个区域党校，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区域党校开班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2次，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累计培训党员、“两委”班子成员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200余人次。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坚持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每次开会前半小时重温红色经典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，全年开展红色教育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15次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30" w:firstLineChars="19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</w:rPr>
        <w:t>抓宣传，做先锋，严格落实意识形态责任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N/>
        <w:bidi w:val="0"/>
        <w:adjustRightInd/>
        <w:snapToGrid/>
        <w:spacing w:line="520" w:lineRule="exact"/>
        <w:ind w:right="0" w:firstLine="321" w:firstLineChars="100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</w:rPr>
        <w:t>年初，苏木党委与2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个支部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</w:rPr>
        <w:t>签订意识形态工作责任状，进一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</w:rPr>
        <w:t>步明确党委意识形态工作主体责任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层层压实细化第一责任人责任、直接责任人责任和“一岗双责”责任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</w:rPr>
        <w:t>。把意识形态工作同经济工作同安排同部署，纳入考核的主要内容，制定中心组理论学习计划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</w:rPr>
        <w:t>狠抓中心组学习规范化、制度化建设。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3" w:firstLineChars="200"/>
        <w:jc w:val="both"/>
        <w:textAlignment w:val="auto"/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（四）抓党建促脱贫，推进乡村振兴谋发展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1、配强两委班子</w:t>
      </w:r>
      <w:r>
        <w:rPr>
          <w:rStyle w:val="7"/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全年共调整、任命村干部8名，村两委班子战斗力、凝聚力大为增强。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20" w:lineRule="exact"/>
        <w:ind w:right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2、做好常规工作。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推动各村“三会一课”扎实开展。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年内转正党员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12名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创新活动方式将支部主题党日活动与脱贫攻坚、环境整治等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中心工作有机结合，真正做实做活了基层党建工作。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firstLine="643" w:firstLineChars="200"/>
        <w:jc w:val="both"/>
        <w:textAlignment w:val="auto"/>
        <w:rPr>
          <w:rStyle w:val="7"/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3、狠抓阵地建设。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新建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4个嘎查联合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驻地建设，实现驻村工作队吃住基地全覆盖。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22个嘎查村均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上挂党群服务中心牌子，重点打造了东毛瑞、珠日干百兴为重点的党群服务中心，以典型促规范，以示范带全局。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4、助推脱贫攻坚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实施好144户238名贫困人口安全住房，实现了1015户3187名贫困人口脱贫摘帽、5个贫困村脱贫出列的目标。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目前化解民间借贷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47户135万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查村集体经济收入5万元以上8个、5万元以下12个。主要是通过光伏项目、合作社分红及土地承包等方式增收。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 xml:space="preserve">5. </w:t>
      </w:r>
      <w:r>
        <w:rPr>
          <w:rStyle w:val="7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引领乡村振兴。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为把固日班花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打造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成为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“优质黄牛养殖之乡、民族文化旅游之乡、生态环境文明之乡、传统奶品制作之乡”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党员群众齐动手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，拆除危旧房238余座。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以淖图嘎牛交易市场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平台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，获得源、都冷、蓝奥云牛等养牛企业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龙头，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目前全苏木牛存栏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4.6万头，羊存栏5万只。以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图莫套斯民族敖包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、苏勒德旅游区、爱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吉奈怪柳三个景区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为主的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民族文化旅游产业成为农牧民增收的新的增长点。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席马泰、塔拉希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为代表的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传统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手工奶制品作坊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日益增多，成为群众增收的又一个渠道。以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乌达木、玛拉沁、众利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eastAsia="zh-CN"/>
        </w:rPr>
        <w:t>为代表的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农机合作社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eastAsia="zh-CN"/>
        </w:rPr>
        <w:t>，推进了农牧业机械化水平。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采取“党支部+合作社+农户”的发展模式，种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植沙漠水稻、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千亩枸杞基地建设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实现村集体资产保值增值。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43" w:firstLineChars="200"/>
        <w:textAlignment w:val="auto"/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（五）坚持正风肃纪，推动全面从严治党向纵深发展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752" w:firstLineChars="235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共排查调处各类矛盾纠纷18起，调处成功18起。调查处理信访案件10起。办理法律援助案件2件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立案6件，给予党政纪处分8人；给予诫勉谈话和通报批评问责处理5人次；批评教育15人次。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全面推行“三务公开”制度，严格资金专款专用，强化驻村工作队考勤考核管理，为实现脱贫摘帽提供坚强纪律保障。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</w:pBdr>
        <w:shd w:val="clear" w:fill="FFFFFF"/>
        <w:kinsoku/>
        <w:overflowPunct/>
        <w:topLinePunct w:val="0"/>
        <w:autoSpaceDN/>
        <w:bidi w:val="0"/>
        <w:adjustRightInd/>
        <w:snapToGrid/>
        <w:spacing w:beforeAutospacing="0" w:after="0" w:afterAutospacing="0" w:line="520" w:lineRule="exact"/>
        <w:ind w:right="0" w:rightChars="0" w:firstLine="321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（六）夯实基层基础，推动乡风文明建设落地生根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</w:pBdr>
        <w:shd w:val="clear" w:fill="FFFFFF"/>
        <w:kinsoku/>
        <w:overflowPunct/>
        <w:topLinePunct w:val="0"/>
        <w:autoSpaceDN/>
        <w:bidi w:val="0"/>
        <w:adjustRightInd/>
        <w:snapToGrid/>
        <w:spacing w:beforeAutospacing="0" w:after="0" w:afterAutospacing="0" w:line="52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召开“扫黑除恶”动员会，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悬挂条幅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25条，设立永久性擎天柱6个、墙面粉刷26处，设置举报信2处，发放蒙汉文宣传单6000份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成功举办了固日班花首届“乳香飘”文化旅游艺术节，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期间召开了奶制品制作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研讨会、民族文化旅游研讨会，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对各条战线的70名劳模进行表彰。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、下步思路改进措施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2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  <w:t>今后工作中，本人将对照存在问题，以目标任务倒逼工作落实，高标准、严要求抓好党务任务落实。重点做好以下工作：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</w:rPr>
        <w:t>（一）加强党员教育管理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加大教育培训力度，开展全员轮训、精准培训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提升考核精准度。建立健全考核体系，细化德、能、勤、绩、廉等共性指标，量化日常工作、重点工作、创新举措等个性指标，从实绩考核、专项考核、年度考核等几方面加大党建综合考量力度。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）推进党建重点任务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  <w:t>深入贯彻落实中央组织工作会议、自治区党委党代会和市旗党建专题会议精神，坚持整体推进与重点突破并重、品牌创建与补齐短板并行，坚决落实基层党建各项工作任务。同时，创新方式，加强党支部规范化运行，以形式多样的组织活动，确保各党支部发挥作用，促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  <w:t>苏木健康发展。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20" w:lineRule="exact"/>
        <w:ind w:left="0" w:right="0" w:firstLine="643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）</w:t>
      </w:r>
      <w:r>
        <w:rPr>
          <w:rStyle w:val="7"/>
          <w:rFonts w:hint="eastAsia" w:ascii="仿宋" w:hAnsi="仿宋" w:eastAsia="仿宋" w:cs="仿宋"/>
          <w:color w:val="auto"/>
          <w:kern w:val="0"/>
          <w:sz w:val="32"/>
          <w:szCs w:val="32"/>
          <w:shd w:val="clear" w:fill="FFFFFF"/>
          <w:lang w:val="en-US" w:eastAsia="zh-CN" w:bidi="ar"/>
        </w:rPr>
        <w:t>坚持党建引领，巩固成效稳脱贫。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fill="FFFFFF"/>
          <w:lang w:val="en-US" w:eastAsia="zh-CN" w:bidi="ar"/>
        </w:rPr>
        <w:t>认真履行第一责任，以党的建设和乡村振兴统揽发展大局，把抓党建与抓脱贫高度结合起来，落实好党员结对帮扶贫困户措施，高度关注边缘贫困人口生产生活，力保脱贫致富路上不落一人。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</w:pPr>
      <w:bookmarkStart w:id="1" w:name="_Toc501701979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）</w:t>
      </w:r>
      <w:bookmarkEnd w:id="1"/>
      <w:bookmarkStart w:id="2" w:name="_Toc50170198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深入推进廉政建设</w:t>
      </w:r>
      <w:bookmarkEnd w:id="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color="auto" w:fill="FFFFFF"/>
        </w:rPr>
        <w:t>严格执行从严治党主体责任和监督责任及党风廉政建设责任制，继续深入推进三务公开工作，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fill="FFFFFF"/>
          <w:lang w:val="en-US" w:eastAsia="zh-CN" w:bidi="ar"/>
        </w:rPr>
        <w:t>加强党风廉政建设学习教育，狠抓扶贫领域反腐败和作风建设，为促进苏木经济社会高质量发展营造和谐环境。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</w:rPr>
      </w:pPr>
    </w:p>
    <w:bookmarkEnd w:id="0"/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 xml:space="preserve"> </w:t>
      </w:r>
      <w:bookmarkStart w:id="3" w:name="_Toc501701974"/>
    </w:p>
    <w:bookmarkEnd w:id="3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bookmarkStart w:id="4" w:name="_Toc501701975"/>
    </w:p>
    <w:bookmarkEnd w:id="4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</w:p>
    <w:p>
      <w:pPr>
        <w:rPr>
          <w:sz w:val="32"/>
          <w:szCs w:val="32"/>
        </w:rPr>
      </w:pPr>
    </w:p>
    <w:sectPr>
      <w:footerReference r:id="rId3" w:type="default"/>
      <w:pgSz w:w="11906" w:h="16838"/>
      <w:pgMar w:top="1701" w:right="1701" w:bottom="1417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大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4460C"/>
    <w:rsid w:val="062221EC"/>
    <w:rsid w:val="0A261262"/>
    <w:rsid w:val="0DD0472D"/>
    <w:rsid w:val="0FD20EC2"/>
    <w:rsid w:val="19D92AC8"/>
    <w:rsid w:val="1A555D6C"/>
    <w:rsid w:val="1A583B09"/>
    <w:rsid w:val="223670DF"/>
    <w:rsid w:val="25A87A4D"/>
    <w:rsid w:val="27E32FF9"/>
    <w:rsid w:val="2E0D545A"/>
    <w:rsid w:val="30481628"/>
    <w:rsid w:val="3B5B08D7"/>
    <w:rsid w:val="3C34460C"/>
    <w:rsid w:val="409A46C6"/>
    <w:rsid w:val="46E82445"/>
    <w:rsid w:val="483C371B"/>
    <w:rsid w:val="49F612C2"/>
    <w:rsid w:val="4E2B5883"/>
    <w:rsid w:val="5B3976CB"/>
    <w:rsid w:val="65046005"/>
    <w:rsid w:val="69112C08"/>
    <w:rsid w:val="6C9D6C87"/>
    <w:rsid w:val="6D535020"/>
    <w:rsid w:val="6F29357A"/>
    <w:rsid w:val="79FC147A"/>
    <w:rsid w:val="7A1B69EA"/>
    <w:rsid w:val="7A7942C5"/>
    <w:rsid w:val="7A87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2018-12-23T07:56:00Z</dcterms:created>
  <dc:creator>Administrator</dc:creator>
  <cp:lastModifiedBy>Administrator</cp:lastModifiedBy>
  <cp:lastPrinted>2019-01-31T01:20:00Z</cp:lastPrinted>
  <dcterms:modified xsi:type="dcterms:W3CDTF">2019-12-28T11:24:31Z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