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3F" w:rsidRDefault="00D81E3F" w:rsidP="00936298">
      <w:pP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433BC" w:rsidRDefault="00EB2972">
      <w:pPr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奈曼旗</w:t>
      </w:r>
      <w:r w:rsidR="00F60FD9"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城市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集中式生活饮用水源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地水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质状况报告</w:t>
      </w:r>
    </w:p>
    <w:p w:rsidR="001433BC" w:rsidRDefault="00EB2972">
      <w:pPr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（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年</w:t>
      </w:r>
      <w:r w:rsidR="00CD53C7"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</w:rPr>
        <w:t>第一季度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）</w:t>
      </w:r>
    </w:p>
    <w:p w:rsidR="00D81E3F" w:rsidRDefault="00D81E3F" w:rsidP="00A72BB1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1433BC" w:rsidRPr="00BC1277" w:rsidRDefault="00EB2972" w:rsidP="00A72BB1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C1277">
        <w:rPr>
          <w:rFonts w:ascii="仿宋" w:eastAsia="仿宋" w:hAnsi="仿宋" w:cs="Times New Roman"/>
          <w:kern w:val="0"/>
          <w:sz w:val="28"/>
          <w:szCs w:val="28"/>
        </w:rPr>
        <w:t>一、监测情况</w:t>
      </w:r>
    </w:p>
    <w:p w:rsidR="001433BC" w:rsidRPr="00BC1277" w:rsidRDefault="00EB2972" w:rsidP="00D81E3F">
      <w:pPr>
        <w:pStyle w:val="a3"/>
        <w:spacing w:line="360" w:lineRule="auto"/>
        <w:ind w:firstLineChars="200" w:firstLine="560"/>
        <w:rPr>
          <w:rFonts w:ascii="仿宋" w:eastAsia="仿宋" w:hAnsi="仿宋" w:cstheme="minorEastAsia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color w:val="333333"/>
          <w:sz w:val="28"/>
          <w:szCs w:val="28"/>
        </w:rPr>
        <w:t>为进一步加强城市集中式饮用水水源</w:t>
      </w:r>
      <w:r w:rsidR="007C5AE1">
        <w:rPr>
          <w:rFonts w:ascii="仿宋" w:eastAsia="仿宋" w:hAnsi="仿宋" w:cstheme="minorEastAsia" w:hint="eastAsia"/>
          <w:color w:val="333333"/>
          <w:sz w:val="28"/>
          <w:szCs w:val="28"/>
        </w:rPr>
        <w:t>地</w:t>
      </w:r>
      <w:r w:rsidRPr="00BC1277">
        <w:rPr>
          <w:rFonts w:ascii="仿宋" w:eastAsia="仿宋" w:hAnsi="仿宋" w:cstheme="minorEastAsia" w:hint="eastAsia"/>
          <w:color w:val="333333"/>
          <w:sz w:val="28"/>
          <w:szCs w:val="28"/>
        </w:rPr>
        <w:t>保护，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旗环境保护</w:t>
      </w:r>
      <w:r w:rsidR="003E68B6"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局</w:t>
      </w:r>
      <w:r w:rsidR="007C5AE1">
        <w:rPr>
          <w:rFonts w:ascii="仿宋" w:eastAsia="仿宋" w:hAnsi="仿宋" w:cstheme="minorEastAsia" w:hint="eastAsia"/>
          <w:kern w:val="0"/>
          <w:sz w:val="28"/>
          <w:szCs w:val="28"/>
        </w:rPr>
        <w:t>环境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监测站</w:t>
      </w:r>
      <w:r w:rsidR="007C5AE1">
        <w:rPr>
          <w:rFonts w:ascii="仿宋" w:eastAsia="仿宋" w:hAnsi="仿宋" w:cstheme="minorEastAsia" w:hint="eastAsia"/>
          <w:kern w:val="0"/>
          <w:sz w:val="28"/>
          <w:szCs w:val="28"/>
        </w:rPr>
        <w:t>利用现有监测技术能力</w:t>
      </w:r>
      <w:r w:rsidR="003E68B6"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对大沁他拉镇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城市集中式生活饮用水水源地水质</w:t>
      </w:r>
      <w:r w:rsidR="007C5AE1">
        <w:rPr>
          <w:rFonts w:ascii="仿宋" w:eastAsia="仿宋" w:hAnsi="仿宋" w:cstheme="minorEastAsia" w:hint="eastAsia"/>
          <w:kern w:val="0"/>
          <w:sz w:val="28"/>
          <w:szCs w:val="28"/>
        </w:rPr>
        <w:t>进行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监测</w:t>
      </w:r>
      <w:r w:rsidR="007C5AE1">
        <w:rPr>
          <w:rFonts w:ascii="仿宋" w:eastAsia="仿宋" w:hAnsi="仿宋" w:cstheme="minorEastAsia" w:hint="eastAsia"/>
          <w:kern w:val="0"/>
          <w:sz w:val="28"/>
          <w:szCs w:val="28"/>
        </w:rPr>
        <w:t>。</w:t>
      </w:r>
    </w:p>
    <w:p w:rsidR="001433BC" w:rsidRPr="00BC1277" w:rsidRDefault="00EB2972" w:rsidP="00BC1277">
      <w:pPr>
        <w:widowControl/>
        <w:wordWrap w:val="0"/>
        <w:spacing w:line="520" w:lineRule="atLeast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BC1277">
        <w:rPr>
          <w:rFonts w:ascii="仿宋" w:eastAsia="仿宋" w:hAnsi="仿宋" w:cs="黑体" w:hint="eastAsia"/>
          <w:kern w:val="0"/>
          <w:sz w:val="28"/>
          <w:szCs w:val="28"/>
        </w:rPr>
        <w:t>1.监测点位</w:t>
      </w:r>
      <w:r w:rsidR="00BC1277" w:rsidRPr="00BC1277">
        <w:rPr>
          <w:rFonts w:ascii="仿宋" w:eastAsia="仿宋" w:hAnsi="仿宋" w:cs="黑体" w:hint="eastAsia"/>
          <w:kern w:val="0"/>
          <w:sz w:val="28"/>
          <w:szCs w:val="28"/>
        </w:rPr>
        <w:t>：</w:t>
      </w:r>
    </w:p>
    <w:p w:rsidR="001433BC" w:rsidRPr="00BC1277" w:rsidRDefault="00EB2972" w:rsidP="00D81E3F">
      <w:pPr>
        <w:widowControl/>
        <w:wordWrap w:val="0"/>
        <w:spacing w:line="520" w:lineRule="atLeast"/>
        <w:ind w:firstLineChars="150" w:firstLine="420"/>
        <w:jc w:val="left"/>
        <w:rPr>
          <w:rFonts w:ascii="仿宋" w:eastAsia="仿宋" w:hAnsi="仿宋" w:cstheme="minorEastAsia"/>
          <w:color w:val="000000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奈曼旗自来水公司第一水厂、第三水厂汇水区进口。</w:t>
      </w:r>
    </w:p>
    <w:p w:rsidR="001433BC" w:rsidRPr="00BC1277" w:rsidRDefault="00EB2972" w:rsidP="00BC1277">
      <w:pPr>
        <w:widowControl/>
        <w:wordWrap w:val="0"/>
        <w:spacing w:line="520" w:lineRule="atLeast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BC1277">
        <w:rPr>
          <w:rFonts w:ascii="仿宋" w:eastAsia="仿宋" w:hAnsi="仿宋" w:cs="黑体" w:hint="eastAsia"/>
          <w:kern w:val="0"/>
          <w:sz w:val="28"/>
          <w:szCs w:val="28"/>
        </w:rPr>
        <w:t>2.监测项目</w:t>
      </w:r>
      <w:r w:rsidR="00BC1277" w:rsidRPr="00BC1277">
        <w:rPr>
          <w:rFonts w:ascii="仿宋" w:eastAsia="仿宋" w:hAnsi="仿宋" w:cs="黑体" w:hint="eastAsia"/>
          <w:kern w:val="0"/>
          <w:sz w:val="28"/>
          <w:szCs w:val="28"/>
        </w:rPr>
        <w:t>：</w:t>
      </w:r>
    </w:p>
    <w:p w:rsidR="001433BC" w:rsidRPr="00BC1277" w:rsidRDefault="00EB2972" w:rsidP="00D81E3F">
      <w:pPr>
        <w:widowControl/>
        <w:wordWrap w:val="0"/>
        <w:spacing w:line="520" w:lineRule="atLeast"/>
        <w:ind w:firstLineChars="150" w:firstLine="420"/>
        <w:jc w:val="left"/>
        <w:rPr>
          <w:rFonts w:ascii="仿宋" w:eastAsia="仿宋" w:hAnsi="仿宋" w:cstheme="minorEastAsia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sz w:val="28"/>
          <w:szCs w:val="28"/>
        </w:rPr>
        <w:t>pH、总硬度、铁、锰、铜、铅、镉、高锰酸盐指数、硫酸盐、氯化物、硝酸盐氮、亚硝酸盐氮、氨氮、氟化物、汞、砷、六价铬、挥发酚、镍、总大肠菌群、铬共计21项。</w:t>
      </w:r>
    </w:p>
    <w:p w:rsidR="003B3C3F" w:rsidRDefault="003B3C3F">
      <w:pPr>
        <w:widowControl/>
        <w:wordWrap w:val="0"/>
        <w:spacing w:line="520" w:lineRule="atLeas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1433BC" w:rsidRPr="00BC1277" w:rsidRDefault="00EB2972">
      <w:pPr>
        <w:widowControl/>
        <w:wordWrap w:val="0"/>
        <w:spacing w:line="520" w:lineRule="atLeas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C1277">
        <w:rPr>
          <w:rFonts w:ascii="仿宋" w:eastAsia="仿宋" w:hAnsi="仿宋" w:cs="Times New Roman"/>
          <w:kern w:val="0"/>
          <w:sz w:val="28"/>
          <w:szCs w:val="28"/>
        </w:rPr>
        <w:t>二、评价标准及方法</w:t>
      </w:r>
    </w:p>
    <w:p w:rsidR="00BC1277" w:rsidRPr="00BC1277" w:rsidRDefault="00EB2972" w:rsidP="00D81E3F">
      <w:pPr>
        <w:widowControl/>
        <w:wordWrap w:val="0"/>
        <w:spacing w:line="520" w:lineRule="atLeast"/>
        <w:ind w:firstLineChars="150" w:firstLine="420"/>
        <w:jc w:val="left"/>
        <w:rPr>
          <w:rFonts w:ascii="仿宋" w:eastAsia="仿宋" w:hAnsi="仿宋" w:cs="华文宋体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地下水集中式生活饮用水水源地水质评价执行</w:t>
      </w:r>
      <w:r w:rsidRPr="00BC1277">
        <w:rPr>
          <w:rFonts w:ascii="仿宋" w:eastAsia="仿宋" w:hAnsi="仿宋" w:cstheme="minorEastAsia" w:hint="eastAsia"/>
          <w:sz w:val="28"/>
          <w:szCs w:val="28"/>
        </w:rPr>
        <w:t>《地下水质量标准》（GB/T14848-2017）表1</w:t>
      </w:r>
      <w:r w:rsidR="007C5AE1">
        <w:rPr>
          <w:rFonts w:ascii="仿宋" w:eastAsia="仿宋" w:hAnsi="仿宋" w:cstheme="minorEastAsia" w:hint="eastAsia"/>
          <w:sz w:val="28"/>
          <w:szCs w:val="28"/>
        </w:rPr>
        <w:t xml:space="preserve"> </w:t>
      </w:r>
      <w:r w:rsidR="007C5AE1" w:rsidRPr="00BC1277">
        <w:rPr>
          <w:rFonts w:ascii="仿宋" w:eastAsia="仿宋" w:hAnsi="仿宋" w:cstheme="minorEastAsia" w:hint="eastAsia"/>
          <w:sz w:val="28"/>
          <w:szCs w:val="28"/>
        </w:rPr>
        <w:t>表</w:t>
      </w:r>
      <w:r w:rsidR="007C5AE1">
        <w:rPr>
          <w:rFonts w:ascii="仿宋" w:eastAsia="仿宋" w:hAnsi="仿宋" w:cstheme="minorEastAsia" w:hint="eastAsia"/>
          <w:sz w:val="28"/>
          <w:szCs w:val="28"/>
        </w:rPr>
        <w:t>2</w:t>
      </w:r>
      <w:r w:rsidRPr="00BC1277">
        <w:rPr>
          <w:rFonts w:ascii="仿宋" w:eastAsia="仿宋" w:hAnsi="仿宋" w:cstheme="minorEastAsia" w:hint="eastAsia"/>
          <w:sz w:val="28"/>
          <w:szCs w:val="28"/>
        </w:rPr>
        <w:t>地下水质量分类指标 III类标准限值</w:t>
      </w:r>
      <w:r w:rsidR="003B5B63">
        <w:rPr>
          <w:rFonts w:ascii="仿宋" w:eastAsia="仿宋" w:hAnsi="仿宋" w:cstheme="minorEastAsia" w:hint="eastAsia"/>
          <w:kern w:val="0"/>
          <w:sz w:val="28"/>
          <w:szCs w:val="28"/>
        </w:rPr>
        <w:t>。</w:t>
      </w:r>
    </w:p>
    <w:p w:rsidR="003B3C3F" w:rsidRDefault="003B3C3F" w:rsidP="00BC1277">
      <w:pPr>
        <w:widowControl/>
        <w:wordWrap w:val="0"/>
        <w:spacing w:line="520" w:lineRule="atLeas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1433BC" w:rsidRPr="00BC1277" w:rsidRDefault="00EB2972" w:rsidP="00BC1277">
      <w:pPr>
        <w:widowControl/>
        <w:wordWrap w:val="0"/>
        <w:spacing w:line="520" w:lineRule="atLeast"/>
        <w:jc w:val="left"/>
        <w:rPr>
          <w:rFonts w:ascii="仿宋" w:eastAsia="仿宋" w:hAnsi="仿宋" w:cs="华文宋体"/>
          <w:kern w:val="0"/>
          <w:sz w:val="28"/>
          <w:szCs w:val="28"/>
        </w:rPr>
      </w:pPr>
      <w:r w:rsidRPr="00BC1277">
        <w:rPr>
          <w:rFonts w:ascii="仿宋" w:eastAsia="仿宋" w:hAnsi="仿宋" w:cs="Times New Roman"/>
          <w:kern w:val="0"/>
          <w:sz w:val="28"/>
          <w:szCs w:val="28"/>
        </w:rPr>
        <w:t>三、评价结果</w:t>
      </w:r>
    </w:p>
    <w:p w:rsidR="003A4AD6" w:rsidRPr="003B3C3F" w:rsidRDefault="00EB2972" w:rsidP="003B3C3F">
      <w:pPr>
        <w:widowControl/>
        <w:wordWrap w:val="0"/>
        <w:spacing w:line="520" w:lineRule="atLeast"/>
        <w:ind w:firstLineChars="150" w:firstLine="420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监测期间一、三水厂水质铁、锰未达到标准限值要求。</w:t>
      </w:r>
      <w:r w:rsidR="003B5B63"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地下水集中式生活饮用水水源地水质</w:t>
      </w:r>
      <w:r w:rsidR="003B5B63">
        <w:rPr>
          <w:rFonts w:ascii="仿宋" w:eastAsia="仿宋" w:hAnsi="仿宋" w:cstheme="minorEastAsia" w:hint="eastAsia"/>
          <w:kern w:val="0"/>
          <w:sz w:val="28"/>
          <w:szCs w:val="28"/>
        </w:rPr>
        <w:t>状况见下表</w:t>
      </w:r>
      <w:r w:rsidR="003B5B63" w:rsidRPr="00BC1277">
        <w:rPr>
          <w:rFonts w:ascii="仿宋" w:eastAsia="仿宋" w:hAnsi="仿宋" w:cs="黑体" w:hint="eastAsia"/>
          <w:kern w:val="0"/>
          <w:sz w:val="28"/>
          <w:szCs w:val="28"/>
        </w:rPr>
        <w:t>：</w:t>
      </w:r>
    </w:p>
    <w:tbl>
      <w:tblPr>
        <w:tblStyle w:val="a4"/>
        <w:tblW w:w="8286" w:type="dxa"/>
        <w:tblLayout w:type="fixed"/>
        <w:tblLook w:val="04A0"/>
      </w:tblPr>
      <w:tblGrid>
        <w:gridCol w:w="435"/>
        <w:gridCol w:w="902"/>
        <w:gridCol w:w="1488"/>
        <w:gridCol w:w="931"/>
        <w:gridCol w:w="866"/>
        <w:gridCol w:w="660"/>
        <w:gridCol w:w="3004"/>
      </w:tblGrid>
      <w:tr w:rsidR="001433BC">
        <w:trPr>
          <w:trHeight w:val="1091"/>
        </w:trPr>
        <w:tc>
          <w:tcPr>
            <w:tcW w:w="435" w:type="dxa"/>
            <w:vAlign w:val="center"/>
          </w:tcPr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lastRenderedPageBreak/>
              <w:t>序号</w:t>
            </w:r>
          </w:p>
        </w:tc>
        <w:tc>
          <w:tcPr>
            <w:tcW w:w="902" w:type="dxa"/>
            <w:vAlign w:val="center"/>
          </w:tcPr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仿宋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城市</w:t>
            </w:r>
          </w:p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名称</w:t>
            </w:r>
          </w:p>
        </w:tc>
        <w:tc>
          <w:tcPr>
            <w:tcW w:w="1488" w:type="dxa"/>
            <w:vAlign w:val="center"/>
          </w:tcPr>
          <w:p w:rsidR="001433BC" w:rsidRDefault="00D61281" w:rsidP="00D6128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 w:hint="eastAsia"/>
                <w:b/>
                <w:szCs w:val="21"/>
              </w:rPr>
              <w:t>监测点位</w:t>
            </w:r>
          </w:p>
        </w:tc>
        <w:tc>
          <w:tcPr>
            <w:tcW w:w="931" w:type="dxa"/>
            <w:vAlign w:val="center"/>
          </w:tcPr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水源地类型</w:t>
            </w:r>
          </w:p>
        </w:tc>
        <w:tc>
          <w:tcPr>
            <w:tcW w:w="866" w:type="dxa"/>
            <w:vAlign w:val="center"/>
          </w:tcPr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仿宋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达标</w:t>
            </w:r>
          </w:p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情况</w:t>
            </w:r>
          </w:p>
        </w:tc>
        <w:tc>
          <w:tcPr>
            <w:tcW w:w="660" w:type="dxa"/>
            <w:vAlign w:val="center"/>
          </w:tcPr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水质</w:t>
            </w:r>
          </w:p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类别</w:t>
            </w:r>
          </w:p>
        </w:tc>
        <w:tc>
          <w:tcPr>
            <w:tcW w:w="3004" w:type="dxa"/>
            <w:vAlign w:val="center"/>
          </w:tcPr>
          <w:p w:rsidR="001433BC" w:rsidRDefault="00EB297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szCs w:val="21"/>
              </w:rPr>
              <w:t>超标指标及超标倍数</w:t>
            </w:r>
          </w:p>
        </w:tc>
      </w:tr>
      <w:tr w:rsidR="00827B85">
        <w:trPr>
          <w:trHeight w:val="680"/>
        </w:trPr>
        <w:tc>
          <w:tcPr>
            <w:tcW w:w="435" w:type="dxa"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902" w:type="dxa"/>
            <w:vMerge w:val="restart"/>
            <w:vAlign w:val="center"/>
          </w:tcPr>
          <w:p w:rsidR="00827B85" w:rsidRDefault="00827B85" w:rsidP="003251DE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奈曼旗</w:t>
            </w:r>
          </w:p>
        </w:tc>
        <w:tc>
          <w:tcPr>
            <w:tcW w:w="1488" w:type="dxa"/>
            <w:vAlign w:val="center"/>
          </w:tcPr>
          <w:p w:rsidR="00827B85" w:rsidRDefault="00827B8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自来水公司（第一水厂）</w:t>
            </w:r>
          </w:p>
        </w:tc>
        <w:tc>
          <w:tcPr>
            <w:tcW w:w="931" w:type="dxa"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地下水</w:t>
            </w:r>
          </w:p>
        </w:tc>
        <w:tc>
          <w:tcPr>
            <w:tcW w:w="866" w:type="dxa"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超标</w:t>
            </w:r>
          </w:p>
        </w:tc>
        <w:tc>
          <w:tcPr>
            <w:tcW w:w="660" w:type="dxa"/>
            <w:vAlign w:val="center"/>
          </w:tcPr>
          <w:p w:rsidR="00827B85" w:rsidRDefault="00827B8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Ⅳ</w:t>
            </w:r>
          </w:p>
        </w:tc>
        <w:tc>
          <w:tcPr>
            <w:tcW w:w="3004" w:type="dxa"/>
            <w:vAlign w:val="center"/>
          </w:tcPr>
          <w:p w:rsidR="00827B85" w:rsidRDefault="00827B8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铁（0.4倍）、锰（3.0倍）</w:t>
            </w:r>
          </w:p>
          <w:p w:rsidR="00827B85" w:rsidRDefault="00827B8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</w:rPr>
            </w:pPr>
          </w:p>
        </w:tc>
      </w:tr>
      <w:tr w:rsidR="00827B85">
        <w:trPr>
          <w:trHeight w:val="716"/>
        </w:trPr>
        <w:tc>
          <w:tcPr>
            <w:tcW w:w="435" w:type="dxa"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902" w:type="dxa"/>
            <w:vMerge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27B85" w:rsidRDefault="00827B8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自来水公司（第三水厂）</w:t>
            </w:r>
          </w:p>
        </w:tc>
        <w:tc>
          <w:tcPr>
            <w:tcW w:w="931" w:type="dxa"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地下水</w:t>
            </w:r>
          </w:p>
        </w:tc>
        <w:tc>
          <w:tcPr>
            <w:tcW w:w="866" w:type="dxa"/>
            <w:vAlign w:val="center"/>
          </w:tcPr>
          <w:p w:rsidR="00827B85" w:rsidRDefault="00827B8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超标</w:t>
            </w:r>
          </w:p>
        </w:tc>
        <w:tc>
          <w:tcPr>
            <w:tcW w:w="660" w:type="dxa"/>
            <w:vAlign w:val="center"/>
          </w:tcPr>
          <w:p w:rsidR="00827B85" w:rsidRDefault="00827B8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Ⅳ</w:t>
            </w:r>
          </w:p>
        </w:tc>
        <w:tc>
          <w:tcPr>
            <w:tcW w:w="3004" w:type="dxa"/>
            <w:vAlign w:val="center"/>
          </w:tcPr>
          <w:p w:rsidR="00827B85" w:rsidRDefault="00827B85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铁（0.2倍）、锰（5.4倍）</w:t>
            </w:r>
          </w:p>
        </w:tc>
      </w:tr>
    </w:tbl>
    <w:p w:rsidR="001433BC" w:rsidRPr="00BC1277" w:rsidRDefault="00EB2972">
      <w:pPr>
        <w:widowControl/>
        <w:wordWrap w:val="0"/>
        <w:spacing w:line="520" w:lineRule="atLeas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C1277">
        <w:rPr>
          <w:rFonts w:ascii="仿宋" w:eastAsia="仿宋" w:hAnsi="仿宋" w:cs="Times New Roman"/>
          <w:kern w:val="0"/>
          <w:sz w:val="28"/>
          <w:szCs w:val="28"/>
        </w:rPr>
        <w:t>四、超标原因分析</w:t>
      </w:r>
    </w:p>
    <w:p w:rsidR="001433BC" w:rsidRPr="00BC1277" w:rsidRDefault="00EB2972" w:rsidP="003A4AD6">
      <w:pPr>
        <w:ind w:firstLineChars="200" w:firstLine="560"/>
        <w:rPr>
          <w:rFonts w:ascii="仿宋" w:eastAsia="仿宋" w:hAnsi="仿宋" w:cstheme="minorEastAsia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铁、锰超标是由于</w:t>
      </w:r>
      <w:r w:rsidR="00D15054">
        <w:rPr>
          <w:rFonts w:ascii="仿宋" w:eastAsia="仿宋" w:hAnsi="仿宋" w:cstheme="minorEastAsia" w:hint="eastAsia"/>
          <w:kern w:val="0"/>
          <w:sz w:val="28"/>
          <w:szCs w:val="28"/>
        </w:rPr>
        <w:t>本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地区</w:t>
      </w:r>
      <w:r w:rsidR="00BC1277" w:rsidRPr="00BC1277">
        <w:rPr>
          <w:rFonts w:ascii="仿宋" w:eastAsia="仿宋" w:hAnsi="仿宋" w:cstheme="minorEastAsia" w:hint="eastAsia"/>
          <w:kern w:val="0"/>
          <w:sz w:val="28"/>
          <w:szCs w:val="28"/>
        </w:rPr>
        <w:t>自然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本底值偏高造成的。</w:t>
      </w:r>
    </w:p>
    <w:p w:rsidR="003B5B63" w:rsidRDefault="00EB2972" w:rsidP="00A40CD4">
      <w:pPr>
        <w:widowControl/>
        <w:wordWrap w:val="0"/>
        <w:spacing w:line="520" w:lineRule="atLeas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C1277">
        <w:rPr>
          <w:rFonts w:ascii="仿宋" w:eastAsia="仿宋" w:hAnsi="仿宋" w:cs="Times New Roman" w:hint="eastAsia"/>
          <w:kern w:val="0"/>
          <w:sz w:val="28"/>
          <w:szCs w:val="28"/>
        </w:rPr>
        <w:t>备注：</w:t>
      </w:r>
    </w:p>
    <w:p w:rsidR="001433BC" w:rsidRPr="00BC1277" w:rsidRDefault="00EB2972" w:rsidP="003A4AD6">
      <w:pPr>
        <w:widowControl/>
        <w:wordWrap w:val="0"/>
        <w:spacing w:line="520" w:lineRule="atLeast"/>
        <w:ind w:firstLineChars="150" w:firstLine="42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集中式生活饮用水水源和饮用水的区别：饮用水水源为</w:t>
      </w:r>
      <w:r w:rsidR="00BC1277">
        <w:rPr>
          <w:rFonts w:ascii="仿宋" w:eastAsia="仿宋" w:hAnsi="仿宋" w:cstheme="minorEastAsia" w:hint="eastAsia"/>
          <w:kern w:val="0"/>
          <w:sz w:val="28"/>
          <w:szCs w:val="28"/>
        </w:rPr>
        <w:t>地下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原水</w:t>
      </w:r>
      <w:r w:rsidR="00D15054">
        <w:rPr>
          <w:rFonts w:ascii="仿宋" w:eastAsia="仿宋" w:hAnsi="仿宋" w:cstheme="minorEastAsia" w:hint="eastAsia"/>
          <w:kern w:val="0"/>
          <w:sz w:val="28"/>
          <w:szCs w:val="28"/>
        </w:rPr>
        <w:t>，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水源水经自来水厂净化处理后，进入居民供水系统作为</w:t>
      </w:r>
      <w:r w:rsidR="00BC1277">
        <w:rPr>
          <w:rFonts w:ascii="仿宋" w:eastAsia="仿宋" w:hAnsi="仿宋" w:cstheme="minorEastAsia" w:hint="eastAsia"/>
          <w:kern w:val="0"/>
          <w:sz w:val="28"/>
          <w:szCs w:val="28"/>
        </w:rPr>
        <w:t>生活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饮用水</w:t>
      </w:r>
      <w:r w:rsidR="00D15054">
        <w:rPr>
          <w:rFonts w:ascii="仿宋" w:eastAsia="仿宋" w:hAnsi="仿宋" w:cstheme="minorEastAsia" w:hint="eastAsia"/>
          <w:kern w:val="0"/>
          <w:sz w:val="28"/>
          <w:szCs w:val="28"/>
        </w:rPr>
        <w:t>，居民饮用水为末梢水</w:t>
      </w:r>
      <w:r w:rsidRPr="00BC1277">
        <w:rPr>
          <w:rFonts w:ascii="仿宋" w:eastAsia="仿宋" w:hAnsi="仿宋" w:cstheme="minorEastAsia" w:hint="eastAsia"/>
          <w:kern w:val="0"/>
          <w:sz w:val="28"/>
          <w:szCs w:val="28"/>
        </w:rPr>
        <w:t>。</w:t>
      </w:r>
    </w:p>
    <w:p w:rsidR="001433BC" w:rsidRPr="00BC1277" w:rsidRDefault="001433BC">
      <w:pPr>
        <w:widowControl/>
        <w:wordWrap w:val="0"/>
        <w:spacing w:line="520" w:lineRule="atLeast"/>
        <w:ind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1433BC" w:rsidRDefault="001433BC">
      <w:pP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sectPr w:rsidR="001433BC" w:rsidSect="0014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72" w:rsidRDefault="00EB2972" w:rsidP="00EB2972">
      <w:r>
        <w:separator/>
      </w:r>
    </w:p>
  </w:endnote>
  <w:endnote w:type="continuationSeparator" w:id="0">
    <w:p w:rsidR="00EB2972" w:rsidRDefault="00EB2972" w:rsidP="00EB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72" w:rsidRDefault="00EB2972" w:rsidP="00EB2972">
      <w:r>
        <w:separator/>
      </w:r>
    </w:p>
  </w:footnote>
  <w:footnote w:type="continuationSeparator" w:id="0">
    <w:p w:rsidR="00EB2972" w:rsidRDefault="00EB2972" w:rsidP="00EB2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3BC"/>
    <w:rsid w:val="00121E3B"/>
    <w:rsid w:val="0013327E"/>
    <w:rsid w:val="001433BC"/>
    <w:rsid w:val="0017699D"/>
    <w:rsid w:val="002F0CC2"/>
    <w:rsid w:val="003063A5"/>
    <w:rsid w:val="003A4AD6"/>
    <w:rsid w:val="003B3C3F"/>
    <w:rsid w:val="003B59B5"/>
    <w:rsid w:val="003B5B63"/>
    <w:rsid w:val="003E68B6"/>
    <w:rsid w:val="005B74B9"/>
    <w:rsid w:val="007C5AE1"/>
    <w:rsid w:val="00827B85"/>
    <w:rsid w:val="00936298"/>
    <w:rsid w:val="00976316"/>
    <w:rsid w:val="00A40CD4"/>
    <w:rsid w:val="00A72BB1"/>
    <w:rsid w:val="00B01BA1"/>
    <w:rsid w:val="00B02B28"/>
    <w:rsid w:val="00B6100C"/>
    <w:rsid w:val="00BC1277"/>
    <w:rsid w:val="00C04AC9"/>
    <w:rsid w:val="00C63546"/>
    <w:rsid w:val="00CA5D7F"/>
    <w:rsid w:val="00CD53C7"/>
    <w:rsid w:val="00D15054"/>
    <w:rsid w:val="00D61281"/>
    <w:rsid w:val="00D81E3F"/>
    <w:rsid w:val="00EB2972"/>
    <w:rsid w:val="00ED6DAD"/>
    <w:rsid w:val="00EE4103"/>
    <w:rsid w:val="00F13873"/>
    <w:rsid w:val="00F60FD9"/>
    <w:rsid w:val="00FE68FF"/>
    <w:rsid w:val="01A35D75"/>
    <w:rsid w:val="0A8A355B"/>
    <w:rsid w:val="0D481B09"/>
    <w:rsid w:val="0F984252"/>
    <w:rsid w:val="117D1475"/>
    <w:rsid w:val="126D2C5C"/>
    <w:rsid w:val="12B40530"/>
    <w:rsid w:val="14F91A35"/>
    <w:rsid w:val="193A0663"/>
    <w:rsid w:val="194018C2"/>
    <w:rsid w:val="19D47E71"/>
    <w:rsid w:val="1BE2484A"/>
    <w:rsid w:val="1BE92B2B"/>
    <w:rsid w:val="1C202BA4"/>
    <w:rsid w:val="1FCE4CF9"/>
    <w:rsid w:val="20BC0DC0"/>
    <w:rsid w:val="24DB5502"/>
    <w:rsid w:val="26881659"/>
    <w:rsid w:val="28044864"/>
    <w:rsid w:val="2DF7091B"/>
    <w:rsid w:val="2FB51C67"/>
    <w:rsid w:val="32B57A5C"/>
    <w:rsid w:val="33914B68"/>
    <w:rsid w:val="340262F5"/>
    <w:rsid w:val="357A0A93"/>
    <w:rsid w:val="36270F3D"/>
    <w:rsid w:val="384D29C3"/>
    <w:rsid w:val="384F3901"/>
    <w:rsid w:val="3AFC2B4F"/>
    <w:rsid w:val="3C5814AA"/>
    <w:rsid w:val="446B6768"/>
    <w:rsid w:val="475E17DB"/>
    <w:rsid w:val="48B11DCA"/>
    <w:rsid w:val="499A7D0D"/>
    <w:rsid w:val="4B0B736E"/>
    <w:rsid w:val="539B0F20"/>
    <w:rsid w:val="54C319A4"/>
    <w:rsid w:val="551A7B03"/>
    <w:rsid w:val="56903287"/>
    <w:rsid w:val="57A42203"/>
    <w:rsid w:val="58F30672"/>
    <w:rsid w:val="5D7C07FE"/>
    <w:rsid w:val="5DB66383"/>
    <w:rsid w:val="6102728E"/>
    <w:rsid w:val="614970BB"/>
    <w:rsid w:val="61C974C4"/>
    <w:rsid w:val="682E2CCB"/>
    <w:rsid w:val="6C63358F"/>
    <w:rsid w:val="6E13729B"/>
    <w:rsid w:val="714D1C95"/>
    <w:rsid w:val="745A11BE"/>
    <w:rsid w:val="76217DD9"/>
    <w:rsid w:val="77A37053"/>
    <w:rsid w:val="78250160"/>
    <w:rsid w:val="79263815"/>
    <w:rsid w:val="7A5B299D"/>
    <w:rsid w:val="7AA7758E"/>
    <w:rsid w:val="7B6965FB"/>
    <w:rsid w:val="7DC908E7"/>
    <w:rsid w:val="7EBD3D0B"/>
    <w:rsid w:val="7FCE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33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143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B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9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520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2014-10-29T12:08:00Z</dcterms:created>
  <dcterms:modified xsi:type="dcterms:W3CDTF">2019-04-26T03:40:00Z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