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07A" w:rsidRDefault="00B31DB3">
      <w:pPr>
        <w:jc w:val="center"/>
        <w:rPr>
          <w:rFonts w:ascii="Times New Roman" w:eastAsia="黑体" w:hAnsi="Times New Roman" w:cs="Times New Roman"/>
          <w:b/>
          <w:bCs/>
          <w:kern w:val="0"/>
          <w:sz w:val="32"/>
          <w:szCs w:val="32"/>
        </w:rPr>
      </w:pPr>
      <w:r>
        <w:rPr>
          <w:rFonts w:ascii="Times New Roman" w:eastAsia="黑体" w:hAnsi="Times New Roman" w:cs="Times New Roman" w:hint="eastAsia"/>
          <w:b/>
          <w:bCs/>
          <w:kern w:val="0"/>
          <w:sz w:val="32"/>
          <w:szCs w:val="32"/>
        </w:rPr>
        <w:t>奈曼旗农村</w:t>
      </w:r>
      <w:r>
        <w:rPr>
          <w:rFonts w:ascii="Times New Roman" w:eastAsia="黑体" w:hAnsi="Times New Roman" w:cs="Times New Roman"/>
          <w:b/>
          <w:bCs/>
          <w:kern w:val="0"/>
          <w:sz w:val="32"/>
          <w:szCs w:val="32"/>
        </w:rPr>
        <w:t>集中式生活饮用水源</w:t>
      </w:r>
      <w:r>
        <w:rPr>
          <w:rFonts w:ascii="Times New Roman" w:eastAsia="黑体" w:hAnsi="Times New Roman" w:cs="Times New Roman" w:hint="eastAsia"/>
          <w:b/>
          <w:bCs/>
          <w:kern w:val="0"/>
          <w:sz w:val="32"/>
          <w:szCs w:val="32"/>
        </w:rPr>
        <w:t>水</w:t>
      </w:r>
      <w:r>
        <w:rPr>
          <w:rFonts w:ascii="Times New Roman" w:eastAsia="黑体" w:hAnsi="Times New Roman" w:cs="Times New Roman"/>
          <w:b/>
          <w:bCs/>
          <w:kern w:val="0"/>
          <w:sz w:val="32"/>
          <w:szCs w:val="32"/>
        </w:rPr>
        <w:t>质状况报告</w:t>
      </w:r>
    </w:p>
    <w:p w:rsidR="0092007A" w:rsidRDefault="00B31DB3">
      <w:pPr>
        <w:jc w:val="center"/>
        <w:rPr>
          <w:rFonts w:ascii="Times New Roman" w:eastAsia="黑体" w:hAnsi="Times New Roman" w:cs="Times New Roman"/>
          <w:b/>
          <w:bCs/>
          <w:kern w:val="0"/>
          <w:sz w:val="32"/>
          <w:szCs w:val="32"/>
        </w:rPr>
      </w:pPr>
      <w:r>
        <w:rPr>
          <w:rFonts w:ascii="Times New Roman" w:eastAsia="黑体" w:hAnsi="Times New Roman" w:cs="Times New Roman"/>
          <w:b/>
          <w:bCs/>
          <w:kern w:val="0"/>
          <w:sz w:val="32"/>
          <w:szCs w:val="32"/>
        </w:rPr>
        <w:t>（</w:t>
      </w:r>
      <w:r>
        <w:rPr>
          <w:rFonts w:ascii="Times New Roman" w:eastAsia="黑体" w:hAnsi="Times New Roman" w:cs="Times New Roman"/>
          <w:b/>
          <w:bCs/>
          <w:kern w:val="0"/>
          <w:sz w:val="32"/>
          <w:szCs w:val="32"/>
        </w:rPr>
        <w:t>201</w:t>
      </w:r>
      <w:r>
        <w:rPr>
          <w:rFonts w:ascii="Times New Roman" w:eastAsia="黑体" w:hAnsi="Times New Roman" w:cs="Times New Roman" w:hint="eastAsia"/>
          <w:b/>
          <w:bCs/>
          <w:kern w:val="0"/>
          <w:sz w:val="32"/>
          <w:szCs w:val="32"/>
        </w:rPr>
        <w:t>9</w:t>
      </w:r>
      <w:r>
        <w:rPr>
          <w:rFonts w:ascii="Times New Roman" w:eastAsia="黑体" w:hAnsi="Times New Roman" w:cs="Times New Roman"/>
          <w:b/>
          <w:bCs/>
          <w:kern w:val="0"/>
          <w:sz w:val="32"/>
          <w:szCs w:val="32"/>
        </w:rPr>
        <w:t>年）</w:t>
      </w:r>
    </w:p>
    <w:p w:rsidR="0092007A" w:rsidRPr="00013329" w:rsidRDefault="00B31DB3" w:rsidP="00B31DB3">
      <w:pPr>
        <w:widowControl/>
        <w:spacing w:line="520" w:lineRule="exact"/>
        <w:jc w:val="left"/>
        <w:rPr>
          <w:rFonts w:ascii="仿宋" w:eastAsia="仿宋" w:hAnsi="仿宋" w:cs="Times New Roman"/>
          <w:kern w:val="0"/>
          <w:sz w:val="28"/>
          <w:szCs w:val="28"/>
        </w:rPr>
      </w:pPr>
      <w:r w:rsidRPr="00013329">
        <w:rPr>
          <w:rFonts w:ascii="仿宋" w:eastAsia="仿宋" w:hAnsi="仿宋" w:cs="Times New Roman"/>
          <w:kern w:val="0"/>
          <w:sz w:val="28"/>
          <w:szCs w:val="28"/>
        </w:rPr>
        <w:t>一、监测情况</w:t>
      </w:r>
    </w:p>
    <w:p w:rsidR="0092007A" w:rsidRPr="00013329" w:rsidRDefault="00B31DB3" w:rsidP="00F066E2">
      <w:pPr>
        <w:pStyle w:val="a3"/>
        <w:spacing w:line="520" w:lineRule="exact"/>
        <w:ind w:firstLineChars="150" w:firstLine="420"/>
        <w:rPr>
          <w:rFonts w:ascii="仿宋" w:eastAsia="仿宋" w:hAnsi="仿宋" w:cs="黑体"/>
          <w:kern w:val="0"/>
          <w:sz w:val="28"/>
          <w:szCs w:val="28"/>
        </w:rPr>
      </w:pPr>
      <w:r w:rsidRPr="00013329">
        <w:rPr>
          <w:rFonts w:ascii="仿宋" w:eastAsia="仿宋" w:hAnsi="仿宋" w:cstheme="minorEastAsia" w:hint="eastAsia"/>
          <w:kern w:val="0"/>
          <w:sz w:val="28"/>
          <w:szCs w:val="28"/>
        </w:rPr>
        <w:t>旗环境保护</w:t>
      </w:r>
      <w:r w:rsidR="0045622D" w:rsidRPr="00013329">
        <w:rPr>
          <w:rFonts w:ascii="仿宋" w:eastAsia="仿宋" w:hAnsi="仿宋" w:cstheme="minorEastAsia" w:hint="eastAsia"/>
          <w:kern w:val="0"/>
          <w:sz w:val="28"/>
          <w:szCs w:val="28"/>
        </w:rPr>
        <w:t>局环境</w:t>
      </w:r>
      <w:r w:rsidRPr="00013329">
        <w:rPr>
          <w:rFonts w:ascii="仿宋" w:eastAsia="仿宋" w:hAnsi="仿宋" w:cstheme="minorEastAsia" w:hint="eastAsia"/>
          <w:kern w:val="0"/>
          <w:sz w:val="28"/>
          <w:szCs w:val="28"/>
        </w:rPr>
        <w:t>监测站</w:t>
      </w:r>
      <w:r w:rsidR="00863DD4" w:rsidRPr="00013329">
        <w:rPr>
          <w:rFonts w:ascii="仿宋" w:eastAsia="仿宋" w:hAnsi="仿宋" w:cstheme="minorEastAsia" w:hint="eastAsia"/>
          <w:kern w:val="0"/>
          <w:sz w:val="28"/>
          <w:szCs w:val="28"/>
        </w:rPr>
        <w:t>利用现有监测技术能力，逐年对我旗农村</w:t>
      </w:r>
      <w:r w:rsidRPr="00013329">
        <w:rPr>
          <w:rFonts w:ascii="仿宋" w:eastAsia="仿宋" w:hAnsi="仿宋" w:cstheme="minorEastAsia" w:hint="eastAsia"/>
          <w:kern w:val="0"/>
          <w:sz w:val="28"/>
          <w:szCs w:val="28"/>
        </w:rPr>
        <w:t>地下水集中式生活饮用水水源水质进行季度监测，</w:t>
      </w:r>
      <w:r w:rsidR="00863DD4" w:rsidRPr="00013329">
        <w:rPr>
          <w:rFonts w:ascii="仿宋" w:eastAsia="仿宋" w:hAnsi="仿宋" w:cstheme="minorEastAsia" w:hint="eastAsia"/>
          <w:kern w:val="0"/>
          <w:sz w:val="28"/>
          <w:szCs w:val="28"/>
        </w:rPr>
        <w:t>逐步掌握我旗农村地下水集中式生活饮用水水源水质状况为环境管理提供参考依据。</w:t>
      </w:r>
    </w:p>
    <w:p w:rsidR="00863DD4" w:rsidRPr="00013329" w:rsidRDefault="00863DD4" w:rsidP="00B31DB3">
      <w:pPr>
        <w:pStyle w:val="a6"/>
        <w:widowControl/>
        <w:numPr>
          <w:ilvl w:val="0"/>
          <w:numId w:val="1"/>
        </w:numPr>
        <w:spacing w:line="520" w:lineRule="exact"/>
        <w:ind w:firstLineChars="0"/>
        <w:jc w:val="left"/>
        <w:rPr>
          <w:rFonts w:ascii="仿宋" w:eastAsia="仿宋" w:hAnsi="仿宋" w:cstheme="minorEastAsia"/>
          <w:kern w:val="0"/>
          <w:sz w:val="28"/>
          <w:szCs w:val="28"/>
        </w:rPr>
      </w:pPr>
      <w:r w:rsidRPr="00013329">
        <w:rPr>
          <w:rFonts w:ascii="仿宋" w:eastAsia="仿宋" w:hAnsi="仿宋" w:cstheme="minorEastAsia" w:hint="eastAsia"/>
          <w:kern w:val="0"/>
          <w:sz w:val="28"/>
          <w:szCs w:val="28"/>
        </w:rPr>
        <w:t>监测点位：</w:t>
      </w:r>
    </w:p>
    <w:p w:rsidR="0092007A" w:rsidRPr="00013329" w:rsidRDefault="00B31DB3" w:rsidP="00B31DB3">
      <w:pPr>
        <w:pStyle w:val="a6"/>
        <w:widowControl/>
        <w:spacing w:line="520" w:lineRule="exact"/>
        <w:ind w:left="360" w:firstLineChars="0" w:firstLine="0"/>
        <w:jc w:val="left"/>
        <w:rPr>
          <w:rFonts w:ascii="仿宋" w:eastAsia="仿宋" w:hAnsi="仿宋"/>
          <w:sz w:val="28"/>
          <w:szCs w:val="28"/>
        </w:rPr>
      </w:pPr>
      <w:r w:rsidRPr="00013329">
        <w:rPr>
          <w:rFonts w:ascii="仿宋" w:eastAsia="仿宋" w:hAnsi="仿宋" w:cstheme="minorEastAsia" w:hint="eastAsia"/>
          <w:kern w:val="0"/>
          <w:sz w:val="28"/>
          <w:szCs w:val="28"/>
        </w:rPr>
        <w:t>青龙山镇下地村</w:t>
      </w:r>
      <w:r w:rsidR="0045622D" w:rsidRPr="00013329">
        <w:rPr>
          <w:rFonts w:ascii="仿宋" w:eastAsia="仿宋" w:hAnsi="仿宋" w:cstheme="minorEastAsia" w:hint="eastAsia"/>
          <w:kern w:val="0"/>
          <w:sz w:val="28"/>
          <w:szCs w:val="28"/>
        </w:rPr>
        <w:t>集中</w:t>
      </w:r>
      <w:r w:rsidRPr="00013329">
        <w:rPr>
          <w:rFonts w:ascii="仿宋" w:eastAsia="仿宋" w:hAnsi="仿宋" w:cstheme="minorEastAsia" w:hint="eastAsia"/>
          <w:kern w:val="0"/>
          <w:sz w:val="28"/>
          <w:szCs w:val="28"/>
        </w:rPr>
        <w:t>供水井、土城子乡土城子村</w:t>
      </w:r>
      <w:r w:rsidR="0045622D" w:rsidRPr="00013329">
        <w:rPr>
          <w:rFonts w:ascii="仿宋" w:eastAsia="仿宋" w:hAnsi="仿宋" w:cstheme="minorEastAsia" w:hint="eastAsia"/>
          <w:kern w:val="0"/>
          <w:sz w:val="28"/>
          <w:szCs w:val="28"/>
        </w:rPr>
        <w:t>集中</w:t>
      </w:r>
      <w:r w:rsidRPr="00013329">
        <w:rPr>
          <w:rFonts w:ascii="仿宋" w:eastAsia="仿宋" w:hAnsi="仿宋" w:cstheme="minorEastAsia" w:hint="eastAsia"/>
          <w:kern w:val="0"/>
          <w:sz w:val="28"/>
          <w:szCs w:val="28"/>
        </w:rPr>
        <w:t>供水井</w:t>
      </w:r>
      <w:r w:rsidRPr="00013329">
        <w:rPr>
          <w:rFonts w:ascii="仿宋" w:eastAsia="仿宋" w:hAnsi="仿宋" w:hint="eastAsia"/>
          <w:sz w:val="28"/>
          <w:szCs w:val="28"/>
        </w:rPr>
        <w:t>。</w:t>
      </w:r>
    </w:p>
    <w:p w:rsidR="0092007A" w:rsidRPr="00013329" w:rsidRDefault="00B31DB3" w:rsidP="00B31DB3">
      <w:pPr>
        <w:widowControl/>
        <w:spacing w:line="520" w:lineRule="exact"/>
        <w:jc w:val="left"/>
        <w:rPr>
          <w:rFonts w:ascii="仿宋" w:eastAsia="仿宋" w:hAnsi="仿宋" w:cs="黑体"/>
          <w:kern w:val="0"/>
          <w:sz w:val="28"/>
          <w:szCs w:val="28"/>
        </w:rPr>
      </w:pPr>
      <w:r w:rsidRPr="00013329">
        <w:rPr>
          <w:rFonts w:ascii="仿宋" w:eastAsia="仿宋" w:hAnsi="仿宋" w:cs="黑体" w:hint="eastAsia"/>
          <w:kern w:val="0"/>
          <w:sz w:val="28"/>
          <w:szCs w:val="28"/>
        </w:rPr>
        <w:t>2.监测项目</w:t>
      </w:r>
      <w:r w:rsidR="0045622D" w:rsidRPr="00013329">
        <w:rPr>
          <w:rFonts w:ascii="仿宋" w:eastAsia="仿宋" w:hAnsi="仿宋" w:cs="黑体" w:hint="eastAsia"/>
          <w:kern w:val="0"/>
          <w:sz w:val="28"/>
          <w:szCs w:val="28"/>
        </w:rPr>
        <w:t>：</w:t>
      </w:r>
    </w:p>
    <w:p w:rsidR="0092007A" w:rsidRPr="00013329" w:rsidRDefault="00B31DB3" w:rsidP="00B31DB3">
      <w:pPr>
        <w:widowControl/>
        <w:spacing w:line="520" w:lineRule="exact"/>
        <w:ind w:firstLineChars="150" w:firstLine="420"/>
        <w:jc w:val="left"/>
        <w:rPr>
          <w:rFonts w:ascii="仿宋" w:eastAsia="仿宋" w:hAnsi="仿宋" w:cstheme="minorEastAsia"/>
          <w:kern w:val="0"/>
          <w:sz w:val="28"/>
          <w:szCs w:val="28"/>
        </w:rPr>
      </w:pPr>
      <w:r w:rsidRPr="00013329">
        <w:rPr>
          <w:rFonts w:ascii="仿宋" w:eastAsia="仿宋" w:hAnsi="仿宋" w:cstheme="minorEastAsia" w:hint="eastAsia"/>
          <w:sz w:val="28"/>
          <w:szCs w:val="28"/>
        </w:rPr>
        <w:t>pH、总硬度、铁、锰、铜、铅、镉、高锰酸盐指数、硫酸盐、氯化物、硝酸盐氮、亚硝酸盐氮、氨氮、氟化物、汞、砷、六价铬、挥发酚、镍、溶解性总固体、铬共计21项。</w:t>
      </w:r>
    </w:p>
    <w:p w:rsidR="0092007A" w:rsidRPr="00013329" w:rsidRDefault="00B31DB3" w:rsidP="00B31DB3">
      <w:pPr>
        <w:widowControl/>
        <w:spacing w:line="520" w:lineRule="exact"/>
        <w:jc w:val="left"/>
        <w:rPr>
          <w:rFonts w:ascii="仿宋" w:eastAsia="仿宋" w:hAnsi="仿宋" w:cs="Times New Roman"/>
          <w:kern w:val="0"/>
          <w:sz w:val="28"/>
          <w:szCs w:val="28"/>
        </w:rPr>
      </w:pPr>
      <w:r w:rsidRPr="00013329">
        <w:rPr>
          <w:rFonts w:ascii="仿宋" w:eastAsia="仿宋" w:hAnsi="仿宋" w:cs="Times New Roman"/>
          <w:kern w:val="0"/>
          <w:sz w:val="28"/>
          <w:szCs w:val="28"/>
        </w:rPr>
        <w:t>二、评价标准及方法</w:t>
      </w:r>
    </w:p>
    <w:p w:rsidR="0092007A" w:rsidRPr="00013329" w:rsidRDefault="00B31DB3" w:rsidP="00B31DB3">
      <w:pPr>
        <w:widowControl/>
        <w:spacing w:line="520" w:lineRule="exact"/>
        <w:ind w:firstLineChars="150" w:firstLine="420"/>
        <w:jc w:val="left"/>
        <w:rPr>
          <w:rFonts w:ascii="仿宋" w:eastAsia="仿宋" w:hAnsi="仿宋" w:cs="华文宋体"/>
          <w:kern w:val="0"/>
          <w:sz w:val="28"/>
          <w:szCs w:val="28"/>
        </w:rPr>
      </w:pPr>
      <w:r w:rsidRPr="00013329">
        <w:rPr>
          <w:rFonts w:ascii="仿宋" w:eastAsia="仿宋" w:hAnsi="仿宋" w:cstheme="minorEastAsia" w:hint="eastAsia"/>
          <w:kern w:val="0"/>
          <w:sz w:val="28"/>
          <w:szCs w:val="28"/>
        </w:rPr>
        <w:t>地下水集中式生活饮用水水源地水质评价执行</w:t>
      </w:r>
      <w:r w:rsidRPr="00013329">
        <w:rPr>
          <w:rFonts w:ascii="仿宋" w:eastAsia="仿宋" w:hAnsi="仿宋" w:cstheme="minorEastAsia" w:hint="eastAsia"/>
          <w:sz w:val="28"/>
          <w:szCs w:val="28"/>
        </w:rPr>
        <w:t>《地下水质量标准》（GB/T14848-2017）表1 地下水质量分类指标 III类标准限值</w:t>
      </w:r>
      <w:r w:rsidRPr="00013329">
        <w:rPr>
          <w:rFonts w:ascii="仿宋" w:eastAsia="仿宋" w:hAnsi="仿宋" w:cstheme="minorEastAsia" w:hint="eastAsia"/>
          <w:kern w:val="0"/>
          <w:sz w:val="28"/>
          <w:szCs w:val="28"/>
        </w:rPr>
        <w:t>，采用单因子评价法进行评价。</w:t>
      </w:r>
    </w:p>
    <w:p w:rsidR="0092007A" w:rsidRDefault="00B31DB3" w:rsidP="00B31DB3">
      <w:pPr>
        <w:widowControl/>
        <w:spacing w:line="520" w:lineRule="exact"/>
        <w:jc w:val="left"/>
        <w:rPr>
          <w:rFonts w:ascii="仿宋" w:eastAsia="仿宋" w:hAnsi="仿宋" w:cs="Times New Roman"/>
          <w:kern w:val="0"/>
          <w:sz w:val="28"/>
          <w:szCs w:val="28"/>
        </w:rPr>
      </w:pPr>
      <w:r w:rsidRPr="00013329">
        <w:rPr>
          <w:rFonts w:ascii="仿宋" w:eastAsia="仿宋" w:hAnsi="仿宋" w:cs="Times New Roman"/>
          <w:kern w:val="0"/>
          <w:sz w:val="28"/>
          <w:szCs w:val="28"/>
        </w:rPr>
        <w:t>三、评价结果</w:t>
      </w:r>
    </w:p>
    <w:p w:rsidR="002114F2" w:rsidRPr="00013329" w:rsidRDefault="002114F2" w:rsidP="00B31DB3">
      <w:pPr>
        <w:widowControl/>
        <w:spacing w:line="520" w:lineRule="exact"/>
        <w:jc w:val="left"/>
        <w:rPr>
          <w:rFonts w:ascii="仿宋" w:eastAsia="仿宋" w:hAnsi="仿宋" w:cs="Times New Roman"/>
          <w:kern w:val="0"/>
          <w:sz w:val="28"/>
          <w:szCs w:val="28"/>
        </w:rPr>
      </w:pPr>
    </w:p>
    <w:tbl>
      <w:tblPr>
        <w:tblStyle w:val="a4"/>
        <w:tblW w:w="8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100"/>
        <w:gridCol w:w="1328"/>
        <w:gridCol w:w="1087"/>
        <w:gridCol w:w="953"/>
        <w:gridCol w:w="894"/>
        <w:gridCol w:w="2674"/>
      </w:tblGrid>
      <w:tr w:rsidR="0092007A" w:rsidTr="00F93FF9">
        <w:trPr>
          <w:trHeight w:val="614"/>
        </w:trPr>
        <w:tc>
          <w:tcPr>
            <w:tcW w:w="426" w:type="dxa"/>
            <w:vAlign w:val="center"/>
          </w:tcPr>
          <w:p w:rsidR="0092007A" w:rsidRDefault="00B31DB3" w:rsidP="00B31DB3">
            <w:pPr>
              <w:spacing w:line="520" w:lineRule="exact"/>
              <w:jc w:val="center"/>
              <w:rPr>
                <w:rFonts w:asciiTheme="minorEastAsia" w:hAnsiTheme="minorEastAsia" w:cstheme="minorEastAsia"/>
                <w:bCs/>
                <w:kern w:val="0"/>
                <w:sz w:val="28"/>
                <w:szCs w:val="28"/>
              </w:rPr>
            </w:pPr>
            <w:r>
              <w:rPr>
                <w:rFonts w:ascii="Times New Roman" w:eastAsia="仿宋" w:hAnsi="仿宋" w:cs="Times New Roman"/>
                <w:b/>
                <w:szCs w:val="21"/>
              </w:rPr>
              <w:t>序号</w:t>
            </w:r>
          </w:p>
        </w:tc>
        <w:tc>
          <w:tcPr>
            <w:tcW w:w="1100" w:type="dxa"/>
            <w:vAlign w:val="center"/>
          </w:tcPr>
          <w:p w:rsidR="0092007A" w:rsidRDefault="00B31DB3" w:rsidP="00B31DB3">
            <w:pPr>
              <w:spacing w:line="520" w:lineRule="exact"/>
              <w:jc w:val="center"/>
              <w:rPr>
                <w:rFonts w:ascii="Times New Roman" w:eastAsia="仿宋" w:hAnsi="仿宋" w:cs="Times New Roman"/>
                <w:b/>
                <w:szCs w:val="21"/>
              </w:rPr>
            </w:pPr>
            <w:r>
              <w:rPr>
                <w:rFonts w:ascii="Times New Roman" w:eastAsia="仿宋" w:hAnsi="仿宋" w:cs="Times New Roman"/>
                <w:b/>
                <w:szCs w:val="21"/>
              </w:rPr>
              <w:t>城市</w:t>
            </w:r>
          </w:p>
          <w:p w:rsidR="0092007A" w:rsidRDefault="00B31DB3" w:rsidP="00B31DB3">
            <w:pPr>
              <w:spacing w:line="520" w:lineRule="exact"/>
              <w:jc w:val="center"/>
              <w:rPr>
                <w:rFonts w:asciiTheme="minorEastAsia" w:hAnsiTheme="minorEastAsia" w:cstheme="minorEastAsia"/>
                <w:bCs/>
                <w:kern w:val="0"/>
                <w:sz w:val="28"/>
                <w:szCs w:val="28"/>
              </w:rPr>
            </w:pPr>
            <w:r>
              <w:rPr>
                <w:rFonts w:ascii="Times New Roman" w:eastAsia="仿宋" w:hAnsi="仿宋" w:cs="Times New Roman"/>
                <w:b/>
                <w:szCs w:val="21"/>
              </w:rPr>
              <w:t>名称</w:t>
            </w:r>
          </w:p>
        </w:tc>
        <w:tc>
          <w:tcPr>
            <w:tcW w:w="1328" w:type="dxa"/>
            <w:vAlign w:val="center"/>
          </w:tcPr>
          <w:p w:rsidR="0092007A" w:rsidRDefault="00F60343" w:rsidP="00B31DB3">
            <w:pPr>
              <w:widowControl/>
              <w:spacing w:line="520" w:lineRule="exact"/>
              <w:jc w:val="center"/>
              <w:rPr>
                <w:rFonts w:asciiTheme="minorEastAsia" w:hAnsiTheme="minorEastAsia" w:cstheme="minorEastAsia"/>
                <w:bCs/>
                <w:kern w:val="0"/>
                <w:sz w:val="28"/>
                <w:szCs w:val="28"/>
              </w:rPr>
            </w:pPr>
            <w:r>
              <w:rPr>
                <w:rFonts w:ascii="Times New Roman" w:eastAsia="仿宋" w:hAnsi="仿宋" w:cs="Times New Roman" w:hint="eastAsia"/>
                <w:b/>
                <w:szCs w:val="21"/>
              </w:rPr>
              <w:t>监测点位</w:t>
            </w:r>
          </w:p>
        </w:tc>
        <w:tc>
          <w:tcPr>
            <w:tcW w:w="1087" w:type="dxa"/>
            <w:vAlign w:val="center"/>
          </w:tcPr>
          <w:p w:rsidR="0092007A" w:rsidRDefault="00B31DB3" w:rsidP="00B31DB3">
            <w:pPr>
              <w:widowControl/>
              <w:spacing w:line="520" w:lineRule="exact"/>
              <w:jc w:val="center"/>
              <w:rPr>
                <w:rFonts w:ascii="Times New Roman" w:eastAsia="仿宋" w:hAnsi="仿宋" w:cs="Times New Roman"/>
                <w:b/>
                <w:szCs w:val="21"/>
              </w:rPr>
            </w:pPr>
            <w:r>
              <w:rPr>
                <w:rFonts w:ascii="Times New Roman" w:eastAsia="仿宋" w:hAnsi="仿宋" w:cs="Times New Roman"/>
                <w:b/>
                <w:szCs w:val="21"/>
              </w:rPr>
              <w:t>水源</w:t>
            </w:r>
          </w:p>
          <w:p w:rsidR="0092007A" w:rsidRDefault="00B31DB3" w:rsidP="00B31DB3">
            <w:pPr>
              <w:widowControl/>
              <w:spacing w:line="520" w:lineRule="exact"/>
              <w:jc w:val="center"/>
              <w:rPr>
                <w:rFonts w:asciiTheme="minorEastAsia" w:hAnsiTheme="minorEastAsia" w:cstheme="minorEastAsia"/>
                <w:bCs/>
                <w:kern w:val="0"/>
                <w:sz w:val="28"/>
                <w:szCs w:val="28"/>
              </w:rPr>
            </w:pPr>
            <w:r>
              <w:rPr>
                <w:rFonts w:ascii="Times New Roman" w:eastAsia="仿宋" w:hAnsi="仿宋" w:cs="Times New Roman"/>
                <w:b/>
                <w:szCs w:val="21"/>
              </w:rPr>
              <w:t>类型</w:t>
            </w:r>
          </w:p>
        </w:tc>
        <w:tc>
          <w:tcPr>
            <w:tcW w:w="953" w:type="dxa"/>
            <w:vAlign w:val="center"/>
          </w:tcPr>
          <w:p w:rsidR="0092007A" w:rsidRDefault="00B31DB3" w:rsidP="00B31DB3">
            <w:pPr>
              <w:spacing w:line="520" w:lineRule="exact"/>
              <w:jc w:val="center"/>
              <w:rPr>
                <w:rFonts w:ascii="Times New Roman" w:eastAsia="仿宋" w:hAnsi="仿宋" w:cs="Times New Roman"/>
                <w:b/>
                <w:szCs w:val="21"/>
              </w:rPr>
            </w:pPr>
            <w:r>
              <w:rPr>
                <w:rFonts w:ascii="Times New Roman" w:eastAsia="仿宋" w:hAnsi="仿宋" w:cs="Times New Roman"/>
                <w:b/>
                <w:szCs w:val="21"/>
              </w:rPr>
              <w:t>达标</w:t>
            </w:r>
          </w:p>
          <w:p w:rsidR="0092007A" w:rsidRDefault="00B31DB3" w:rsidP="00B31DB3">
            <w:pPr>
              <w:widowControl/>
              <w:spacing w:line="520" w:lineRule="exact"/>
              <w:jc w:val="center"/>
              <w:rPr>
                <w:rFonts w:asciiTheme="minorEastAsia" w:hAnsiTheme="minorEastAsia" w:cstheme="minorEastAsia"/>
                <w:bCs/>
                <w:kern w:val="0"/>
                <w:sz w:val="28"/>
                <w:szCs w:val="28"/>
              </w:rPr>
            </w:pPr>
            <w:r>
              <w:rPr>
                <w:rFonts w:ascii="Times New Roman" w:eastAsia="仿宋" w:hAnsi="仿宋" w:cs="Times New Roman"/>
                <w:b/>
                <w:szCs w:val="21"/>
              </w:rPr>
              <w:t>情况</w:t>
            </w:r>
          </w:p>
        </w:tc>
        <w:tc>
          <w:tcPr>
            <w:tcW w:w="894" w:type="dxa"/>
            <w:vAlign w:val="center"/>
          </w:tcPr>
          <w:p w:rsidR="0092007A" w:rsidRDefault="00B31DB3" w:rsidP="00B31DB3">
            <w:pPr>
              <w:spacing w:line="520" w:lineRule="exact"/>
              <w:jc w:val="center"/>
              <w:rPr>
                <w:rFonts w:ascii="Times New Roman" w:eastAsia="仿宋" w:hAnsi="Times New Roman" w:cs="Times New Roman"/>
                <w:b/>
                <w:szCs w:val="21"/>
              </w:rPr>
            </w:pPr>
            <w:r>
              <w:rPr>
                <w:rFonts w:ascii="Times New Roman" w:eastAsia="仿宋" w:hAnsi="仿宋" w:cs="Times New Roman"/>
                <w:b/>
                <w:szCs w:val="21"/>
              </w:rPr>
              <w:t>水质</w:t>
            </w:r>
          </w:p>
          <w:p w:rsidR="0092007A" w:rsidRDefault="00B31DB3" w:rsidP="00B31DB3">
            <w:pPr>
              <w:widowControl/>
              <w:spacing w:line="520" w:lineRule="exact"/>
              <w:jc w:val="center"/>
              <w:rPr>
                <w:rFonts w:asciiTheme="minorEastAsia" w:hAnsiTheme="minorEastAsia" w:cstheme="minorEastAsia"/>
                <w:bCs/>
                <w:kern w:val="0"/>
                <w:sz w:val="28"/>
                <w:szCs w:val="28"/>
              </w:rPr>
            </w:pPr>
            <w:r>
              <w:rPr>
                <w:rFonts w:ascii="Times New Roman" w:eastAsia="仿宋" w:hAnsi="仿宋" w:cs="Times New Roman"/>
                <w:b/>
                <w:szCs w:val="21"/>
              </w:rPr>
              <w:t>类别</w:t>
            </w:r>
          </w:p>
        </w:tc>
        <w:tc>
          <w:tcPr>
            <w:tcW w:w="2674" w:type="dxa"/>
            <w:vAlign w:val="center"/>
          </w:tcPr>
          <w:p w:rsidR="0092007A" w:rsidRDefault="00B31DB3" w:rsidP="00B31DB3">
            <w:pPr>
              <w:widowControl/>
              <w:spacing w:line="520" w:lineRule="exact"/>
              <w:jc w:val="center"/>
              <w:rPr>
                <w:rFonts w:asciiTheme="minorEastAsia" w:hAnsiTheme="minorEastAsia" w:cstheme="minorEastAsia"/>
                <w:bCs/>
                <w:kern w:val="0"/>
                <w:sz w:val="28"/>
                <w:szCs w:val="28"/>
              </w:rPr>
            </w:pPr>
            <w:r>
              <w:rPr>
                <w:rFonts w:ascii="Times New Roman" w:eastAsia="仿宋" w:hAnsi="仿宋" w:cs="Times New Roman"/>
                <w:b/>
                <w:szCs w:val="21"/>
              </w:rPr>
              <w:t>超标指标及超标倍数</w:t>
            </w:r>
          </w:p>
        </w:tc>
      </w:tr>
      <w:tr w:rsidR="0092007A" w:rsidTr="00F93FF9">
        <w:trPr>
          <w:trHeight w:val="288"/>
        </w:trPr>
        <w:tc>
          <w:tcPr>
            <w:tcW w:w="426" w:type="dxa"/>
            <w:vAlign w:val="center"/>
          </w:tcPr>
          <w:p w:rsidR="0092007A" w:rsidRPr="00863DD4" w:rsidRDefault="00B31DB3" w:rsidP="00B31DB3">
            <w:pPr>
              <w:spacing w:line="520" w:lineRule="exact"/>
              <w:jc w:val="center"/>
              <w:rPr>
                <w:rFonts w:ascii="仿宋" w:eastAsia="仿宋" w:hAnsi="仿宋" w:cstheme="minorEastAsia"/>
                <w:bCs/>
                <w:kern w:val="0"/>
                <w:sz w:val="28"/>
                <w:szCs w:val="28"/>
              </w:rPr>
            </w:pPr>
            <w:r w:rsidRPr="00863DD4">
              <w:rPr>
                <w:rFonts w:ascii="仿宋" w:eastAsia="仿宋" w:hAnsi="仿宋" w:cstheme="minorEastAsia" w:hint="eastAsia"/>
                <w:szCs w:val="21"/>
              </w:rPr>
              <w:t>1</w:t>
            </w:r>
          </w:p>
        </w:tc>
        <w:tc>
          <w:tcPr>
            <w:tcW w:w="1100" w:type="dxa"/>
            <w:vAlign w:val="center"/>
          </w:tcPr>
          <w:p w:rsidR="0092007A" w:rsidRPr="00F93FF9" w:rsidRDefault="00F93FF9" w:rsidP="00F93FF9">
            <w:pPr>
              <w:spacing w:line="520" w:lineRule="exact"/>
              <w:jc w:val="center"/>
              <w:rPr>
                <w:rFonts w:ascii="仿宋" w:eastAsia="仿宋" w:hAnsi="仿宋" w:cs="华文宋体"/>
                <w:szCs w:val="21"/>
              </w:rPr>
            </w:pPr>
            <w:r w:rsidRPr="00863DD4">
              <w:rPr>
                <w:rFonts w:ascii="仿宋" w:eastAsia="仿宋" w:hAnsi="仿宋" w:cs="华文宋体" w:hint="eastAsia"/>
                <w:szCs w:val="21"/>
              </w:rPr>
              <w:t>青龙山镇</w:t>
            </w:r>
          </w:p>
        </w:tc>
        <w:tc>
          <w:tcPr>
            <w:tcW w:w="1328" w:type="dxa"/>
            <w:vAlign w:val="center"/>
          </w:tcPr>
          <w:p w:rsidR="0092007A" w:rsidRPr="00863DD4" w:rsidRDefault="00B31DB3" w:rsidP="00B31DB3">
            <w:pPr>
              <w:spacing w:line="520" w:lineRule="exact"/>
              <w:jc w:val="center"/>
              <w:rPr>
                <w:rFonts w:ascii="仿宋" w:eastAsia="仿宋" w:hAnsi="仿宋" w:cstheme="minorEastAsia"/>
                <w:bCs/>
                <w:kern w:val="0"/>
                <w:sz w:val="28"/>
                <w:szCs w:val="28"/>
              </w:rPr>
            </w:pPr>
            <w:r w:rsidRPr="00863DD4">
              <w:rPr>
                <w:rFonts w:ascii="仿宋" w:eastAsia="仿宋" w:hAnsi="仿宋" w:cs="华文宋体" w:hint="eastAsia"/>
                <w:szCs w:val="21"/>
              </w:rPr>
              <w:t>下地村</w:t>
            </w:r>
          </w:p>
        </w:tc>
        <w:tc>
          <w:tcPr>
            <w:tcW w:w="1087" w:type="dxa"/>
            <w:vAlign w:val="center"/>
          </w:tcPr>
          <w:p w:rsidR="0092007A" w:rsidRPr="00863DD4" w:rsidRDefault="00B31DB3" w:rsidP="00B31DB3">
            <w:pPr>
              <w:spacing w:line="520" w:lineRule="exact"/>
              <w:jc w:val="center"/>
              <w:rPr>
                <w:rFonts w:ascii="仿宋" w:eastAsia="仿宋" w:hAnsi="仿宋" w:cstheme="minorEastAsia"/>
                <w:bCs/>
                <w:kern w:val="0"/>
                <w:sz w:val="28"/>
                <w:szCs w:val="28"/>
              </w:rPr>
            </w:pPr>
            <w:r w:rsidRPr="00863DD4">
              <w:rPr>
                <w:rFonts w:ascii="仿宋" w:eastAsia="仿宋" w:hAnsi="仿宋" w:cstheme="minorEastAsia" w:hint="eastAsia"/>
                <w:szCs w:val="21"/>
              </w:rPr>
              <w:t>地下水</w:t>
            </w:r>
          </w:p>
        </w:tc>
        <w:tc>
          <w:tcPr>
            <w:tcW w:w="953" w:type="dxa"/>
            <w:vAlign w:val="center"/>
          </w:tcPr>
          <w:p w:rsidR="0092007A" w:rsidRPr="00863DD4" w:rsidRDefault="00B31DB3" w:rsidP="00B31DB3">
            <w:pPr>
              <w:spacing w:line="520" w:lineRule="exact"/>
              <w:jc w:val="center"/>
              <w:rPr>
                <w:rFonts w:ascii="仿宋" w:eastAsia="仿宋" w:hAnsi="仿宋" w:cstheme="minorEastAsia"/>
                <w:bCs/>
                <w:kern w:val="0"/>
                <w:sz w:val="28"/>
                <w:szCs w:val="28"/>
              </w:rPr>
            </w:pPr>
            <w:r w:rsidRPr="00863DD4">
              <w:rPr>
                <w:rFonts w:ascii="仿宋" w:eastAsia="仿宋" w:hAnsi="仿宋" w:cstheme="minorEastAsia" w:hint="eastAsia"/>
                <w:szCs w:val="21"/>
              </w:rPr>
              <w:t>达标</w:t>
            </w:r>
          </w:p>
        </w:tc>
        <w:tc>
          <w:tcPr>
            <w:tcW w:w="894" w:type="dxa"/>
            <w:vAlign w:val="center"/>
          </w:tcPr>
          <w:p w:rsidR="0092007A" w:rsidRPr="00863DD4" w:rsidRDefault="00B31DB3" w:rsidP="00B31DB3">
            <w:pPr>
              <w:widowControl/>
              <w:spacing w:line="520" w:lineRule="exact"/>
              <w:jc w:val="center"/>
              <w:rPr>
                <w:rFonts w:ascii="仿宋" w:eastAsia="仿宋" w:hAnsi="仿宋" w:cstheme="minorEastAsia"/>
                <w:bCs/>
                <w:kern w:val="0"/>
                <w:sz w:val="28"/>
                <w:szCs w:val="28"/>
              </w:rPr>
            </w:pPr>
            <w:r w:rsidRPr="00863DD4">
              <w:rPr>
                <w:rFonts w:ascii="仿宋" w:eastAsia="仿宋" w:hAnsi="仿宋" w:cstheme="minorEastAsia" w:hint="eastAsia"/>
                <w:bCs/>
                <w:kern w:val="0"/>
                <w:sz w:val="28"/>
                <w:szCs w:val="28"/>
              </w:rPr>
              <w:t>III</w:t>
            </w:r>
          </w:p>
        </w:tc>
        <w:tc>
          <w:tcPr>
            <w:tcW w:w="2674" w:type="dxa"/>
            <w:vAlign w:val="center"/>
          </w:tcPr>
          <w:p w:rsidR="0092007A" w:rsidRDefault="00B31DB3" w:rsidP="00B31DB3">
            <w:pPr>
              <w:widowControl/>
              <w:spacing w:line="520" w:lineRule="exact"/>
              <w:jc w:val="center"/>
              <w:rPr>
                <w:rFonts w:asciiTheme="minorEastAsia" w:hAnsiTheme="minorEastAsia" w:cstheme="minorEastAsia"/>
                <w:bCs/>
                <w:kern w:val="0"/>
                <w:sz w:val="28"/>
                <w:szCs w:val="28"/>
              </w:rPr>
            </w:pPr>
            <w:r>
              <w:rPr>
                <w:rFonts w:ascii="宋体" w:eastAsia="宋体" w:hAnsi="宋体" w:cs="宋体" w:hint="eastAsia"/>
                <w:bCs/>
                <w:kern w:val="0"/>
                <w:sz w:val="28"/>
                <w:szCs w:val="28"/>
              </w:rPr>
              <w:t>－</w:t>
            </w:r>
          </w:p>
        </w:tc>
      </w:tr>
      <w:tr w:rsidR="0092007A" w:rsidTr="00F93FF9">
        <w:trPr>
          <w:trHeight w:val="295"/>
        </w:trPr>
        <w:tc>
          <w:tcPr>
            <w:tcW w:w="426" w:type="dxa"/>
            <w:vAlign w:val="center"/>
          </w:tcPr>
          <w:p w:rsidR="0092007A" w:rsidRPr="00863DD4" w:rsidRDefault="00B31DB3" w:rsidP="00B31DB3">
            <w:pPr>
              <w:spacing w:line="520" w:lineRule="exact"/>
              <w:jc w:val="center"/>
              <w:rPr>
                <w:rFonts w:ascii="仿宋" w:eastAsia="仿宋" w:hAnsi="仿宋" w:cstheme="minorEastAsia"/>
                <w:bCs/>
                <w:kern w:val="0"/>
                <w:sz w:val="28"/>
                <w:szCs w:val="28"/>
              </w:rPr>
            </w:pPr>
            <w:r w:rsidRPr="00863DD4">
              <w:rPr>
                <w:rFonts w:ascii="仿宋" w:eastAsia="仿宋" w:hAnsi="仿宋" w:cstheme="minorEastAsia" w:hint="eastAsia"/>
                <w:szCs w:val="21"/>
              </w:rPr>
              <w:t>2</w:t>
            </w:r>
          </w:p>
        </w:tc>
        <w:tc>
          <w:tcPr>
            <w:tcW w:w="1100" w:type="dxa"/>
            <w:vAlign w:val="center"/>
          </w:tcPr>
          <w:p w:rsidR="0092007A" w:rsidRPr="00F93FF9" w:rsidRDefault="00F93FF9" w:rsidP="00F93FF9">
            <w:pPr>
              <w:spacing w:line="520" w:lineRule="exact"/>
              <w:jc w:val="center"/>
              <w:rPr>
                <w:rFonts w:ascii="仿宋" w:eastAsia="仿宋" w:hAnsi="仿宋" w:cs="华文宋体"/>
                <w:bCs/>
                <w:color w:val="000000"/>
                <w:kern w:val="0"/>
                <w:szCs w:val="21"/>
              </w:rPr>
            </w:pPr>
            <w:r w:rsidRPr="00863DD4">
              <w:rPr>
                <w:rFonts w:ascii="仿宋" w:eastAsia="仿宋" w:hAnsi="仿宋" w:cs="华文宋体" w:hint="eastAsia"/>
                <w:bCs/>
                <w:color w:val="000000"/>
                <w:kern w:val="0"/>
                <w:szCs w:val="21"/>
              </w:rPr>
              <w:t>土城子乡</w:t>
            </w:r>
          </w:p>
        </w:tc>
        <w:tc>
          <w:tcPr>
            <w:tcW w:w="1328" w:type="dxa"/>
            <w:vAlign w:val="center"/>
          </w:tcPr>
          <w:p w:rsidR="0092007A" w:rsidRPr="00863DD4" w:rsidRDefault="00B31DB3" w:rsidP="00B31DB3">
            <w:pPr>
              <w:spacing w:line="520" w:lineRule="exact"/>
              <w:jc w:val="center"/>
              <w:rPr>
                <w:rFonts w:ascii="仿宋" w:eastAsia="仿宋" w:hAnsi="仿宋" w:cstheme="minorEastAsia"/>
                <w:bCs/>
                <w:kern w:val="0"/>
                <w:sz w:val="28"/>
                <w:szCs w:val="28"/>
              </w:rPr>
            </w:pPr>
            <w:r w:rsidRPr="00863DD4">
              <w:rPr>
                <w:rFonts w:ascii="仿宋" w:eastAsia="仿宋" w:hAnsi="仿宋" w:cs="华文宋体" w:hint="eastAsia"/>
                <w:bCs/>
                <w:color w:val="000000"/>
                <w:kern w:val="0"/>
                <w:szCs w:val="21"/>
              </w:rPr>
              <w:t>土城子村</w:t>
            </w:r>
          </w:p>
        </w:tc>
        <w:tc>
          <w:tcPr>
            <w:tcW w:w="1087" w:type="dxa"/>
            <w:vAlign w:val="center"/>
          </w:tcPr>
          <w:p w:rsidR="0092007A" w:rsidRPr="00863DD4" w:rsidRDefault="00B31DB3" w:rsidP="00B31DB3">
            <w:pPr>
              <w:spacing w:line="520" w:lineRule="exact"/>
              <w:jc w:val="center"/>
              <w:rPr>
                <w:rFonts w:ascii="仿宋" w:eastAsia="仿宋" w:hAnsi="仿宋" w:cstheme="minorEastAsia"/>
                <w:bCs/>
                <w:kern w:val="0"/>
                <w:sz w:val="28"/>
                <w:szCs w:val="28"/>
              </w:rPr>
            </w:pPr>
            <w:r w:rsidRPr="00863DD4">
              <w:rPr>
                <w:rFonts w:ascii="仿宋" w:eastAsia="仿宋" w:hAnsi="仿宋" w:cstheme="minorEastAsia" w:hint="eastAsia"/>
                <w:szCs w:val="21"/>
              </w:rPr>
              <w:t>地下水</w:t>
            </w:r>
          </w:p>
        </w:tc>
        <w:tc>
          <w:tcPr>
            <w:tcW w:w="953" w:type="dxa"/>
            <w:vAlign w:val="center"/>
          </w:tcPr>
          <w:p w:rsidR="0092007A" w:rsidRPr="00863DD4" w:rsidRDefault="00B31DB3" w:rsidP="00B31DB3">
            <w:pPr>
              <w:spacing w:line="520" w:lineRule="exact"/>
              <w:jc w:val="center"/>
              <w:rPr>
                <w:rFonts w:ascii="仿宋" w:eastAsia="仿宋" w:hAnsi="仿宋" w:cstheme="minorEastAsia"/>
                <w:bCs/>
                <w:kern w:val="0"/>
                <w:sz w:val="28"/>
                <w:szCs w:val="28"/>
              </w:rPr>
            </w:pPr>
            <w:r w:rsidRPr="00863DD4">
              <w:rPr>
                <w:rFonts w:ascii="仿宋" w:eastAsia="仿宋" w:hAnsi="仿宋" w:cstheme="minorEastAsia" w:hint="eastAsia"/>
                <w:szCs w:val="21"/>
              </w:rPr>
              <w:t>达标</w:t>
            </w:r>
          </w:p>
        </w:tc>
        <w:tc>
          <w:tcPr>
            <w:tcW w:w="894" w:type="dxa"/>
            <w:vAlign w:val="center"/>
          </w:tcPr>
          <w:p w:rsidR="0092007A" w:rsidRPr="00863DD4" w:rsidRDefault="00B31DB3" w:rsidP="00B31DB3">
            <w:pPr>
              <w:widowControl/>
              <w:spacing w:line="520" w:lineRule="exact"/>
              <w:jc w:val="center"/>
              <w:rPr>
                <w:rFonts w:ascii="仿宋" w:eastAsia="仿宋" w:hAnsi="仿宋" w:cstheme="minorEastAsia"/>
                <w:bCs/>
                <w:kern w:val="0"/>
                <w:sz w:val="28"/>
                <w:szCs w:val="28"/>
              </w:rPr>
            </w:pPr>
            <w:r w:rsidRPr="00863DD4">
              <w:rPr>
                <w:rFonts w:ascii="仿宋" w:eastAsia="仿宋" w:hAnsi="仿宋" w:cstheme="minorEastAsia" w:hint="eastAsia"/>
                <w:bCs/>
                <w:kern w:val="0"/>
                <w:sz w:val="28"/>
                <w:szCs w:val="28"/>
              </w:rPr>
              <w:t>II</w:t>
            </w:r>
          </w:p>
        </w:tc>
        <w:tc>
          <w:tcPr>
            <w:tcW w:w="2674" w:type="dxa"/>
            <w:vAlign w:val="center"/>
          </w:tcPr>
          <w:p w:rsidR="0092007A" w:rsidRDefault="00B31DB3" w:rsidP="00B31DB3">
            <w:pPr>
              <w:widowControl/>
              <w:spacing w:line="520" w:lineRule="exact"/>
              <w:jc w:val="center"/>
              <w:rPr>
                <w:rFonts w:asciiTheme="minorEastAsia" w:hAnsiTheme="minorEastAsia" w:cstheme="minorEastAsia"/>
                <w:bCs/>
                <w:kern w:val="0"/>
                <w:sz w:val="28"/>
                <w:szCs w:val="28"/>
              </w:rPr>
            </w:pPr>
            <w:r>
              <w:rPr>
                <w:rFonts w:ascii="宋体" w:eastAsia="宋体" w:hAnsi="宋体" w:cs="宋体" w:hint="eastAsia"/>
                <w:bCs/>
                <w:kern w:val="0"/>
                <w:sz w:val="28"/>
                <w:szCs w:val="28"/>
              </w:rPr>
              <w:t>－</w:t>
            </w:r>
          </w:p>
        </w:tc>
      </w:tr>
    </w:tbl>
    <w:p w:rsidR="002114F2" w:rsidRPr="00013329" w:rsidRDefault="002114F2" w:rsidP="002114F2">
      <w:pPr>
        <w:widowControl/>
        <w:spacing w:line="520" w:lineRule="exact"/>
        <w:ind w:firstLineChars="150" w:firstLine="420"/>
        <w:jc w:val="left"/>
        <w:rPr>
          <w:rFonts w:ascii="仿宋" w:eastAsia="仿宋" w:hAnsi="仿宋" w:cstheme="minorEastAsia"/>
          <w:kern w:val="0"/>
          <w:sz w:val="28"/>
          <w:szCs w:val="28"/>
        </w:rPr>
      </w:pPr>
      <w:r w:rsidRPr="00013329">
        <w:rPr>
          <w:rFonts w:ascii="仿宋" w:eastAsia="仿宋" w:hAnsi="仿宋" w:cstheme="minorEastAsia" w:hint="eastAsia"/>
          <w:kern w:val="0"/>
          <w:sz w:val="28"/>
          <w:szCs w:val="28"/>
        </w:rPr>
        <w:t>地下水水质监测指标均达到标准限值要求</w:t>
      </w:r>
      <w:bookmarkStart w:id="0" w:name="_GoBack"/>
      <w:bookmarkEnd w:id="0"/>
      <w:r w:rsidRPr="00013329">
        <w:rPr>
          <w:rFonts w:ascii="仿宋" w:eastAsia="仿宋" w:hAnsi="仿宋" w:cstheme="minorEastAsia" w:hint="eastAsia"/>
          <w:kern w:val="0"/>
          <w:sz w:val="28"/>
          <w:szCs w:val="28"/>
        </w:rPr>
        <w:t>，监测项目达标率为</w:t>
      </w:r>
    </w:p>
    <w:p w:rsidR="002114F2" w:rsidRPr="00013329" w:rsidRDefault="002114F2" w:rsidP="002114F2">
      <w:pPr>
        <w:widowControl/>
        <w:spacing w:line="520" w:lineRule="exact"/>
        <w:jc w:val="left"/>
        <w:rPr>
          <w:rFonts w:ascii="仿宋" w:eastAsia="仿宋" w:hAnsi="仿宋" w:cstheme="minorEastAsia"/>
          <w:kern w:val="0"/>
          <w:sz w:val="28"/>
          <w:szCs w:val="28"/>
        </w:rPr>
      </w:pPr>
      <w:r>
        <w:rPr>
          <w:rFonts w:ascii="仿宋" w:eastAsia="仿宋" w:hAnsi="仿宋" w:cstheme="minorEastAsia" w:hint="eastAsia"/>
          <w:kern w:val="0"/>
          <w:sz w:val="28"/>
          <w:szCs w:val="28"/>
        </w:rPr>
        <w:t>100</w:t>
      </w:r>
      <w:r w:rsidRPr="00013329">
        <w:rPr>
          <w:rFonts w:ascii="仿宋" w:eastAsia="仿宋" w:hAnsi="仿宋" w:cstheme="minorEastAsia" w:hint="eastAsia"/>
          <w:kern w:val="0"/>
          <w:sz w:val="28"/>
          <w:szCs w:val="28"/>
        </w:rPr>
        <w:t>%。</w:t>
      </w:r>
    </w:p>
    <w:p w:rsidR="0092007A" w:rsidRDefault="0092007A" w:rsidP="00EC5CFD">
      <w:pPr>
        <w:rPr>
          <w:rFonts w:ascii="Times New Roman" w:eastAsia="黑体" w:hAnsi="Times New Roman" w:cs="Times New Roman"/>
          <w:b/>
          <w:bCs/>
          <w:kern w:val="0"/>
          <w:sz w:val="32"/>
          <w:szCs w:val="32"/>
        </w:rPr>
      </w:pPr>
    </w:p>
    <w:sectPr w:rsidR="0092007A" w:rsidSect="009200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22D" w:rsidRDefault="0045622D" w:rsidP="0045622D">
      <w:r>
        <w:separator/>
      </w:r>
    </w:p>
  </w:endnote>
  <w:endnote w:type="continuationSeparator" w:id="0">
    <w:p w:rsidR="0045622D" w:rsidRDefault="0045622D" w:rsidP="004562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宋体">
    <w:altName w:val="hakuyoxingshu7000"/>
    <w:charset w:val="86"/>
    <w:family w:val="auto"/>
    <w:pitch w:val="default"/>
    <w:sig w:usb0="00000000"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22D" w:rsidRDefault="0045622D" w:rsidP="0045622D">
      <w:r>
        <w:separator/>
      </w:r>
    </w:p>
  </w:footnote>
  <w:footnote w:type="continuationSeparator" w:id="0">
    <w:p w:rsidR="0045622D" w:rsidRDefault="0045622D" w:rsidP="004562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2715F"/>
    <w:multiLevelType w:val="hybridMultilevel"/>
    <w:tmpl w:val="BC884520"/>
    <w:lvl w:ilvl="0" w:tplc="301C2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007A"/>
    <w:rsid w:val="00013329"/>
    <w:rsid w:val="0008044F"/>
    <w:rsid w:val="00161F6B"/>
    <w:rsid w:val="001C0CD9"/>
    <w:rsid w:val="002114F2"/>
    <w:rsid w:val="00254654"/>
    <w:rsid w:val="00302DD2"/>
    <w:rsid w:val="00426B58"/>
    <w:rsid w:val="0045622D"/>
    <w:rsid w:val="004965B6"/>
    <w:rsid w:val="00515F80"/>
    <w:rsid w:val="0059785E"/>
    <w:rsid w:val="006809F6"/>
    <w:rsid w:val="00727DB5"/>
    <w:rsid w:val="00863DD4"/>
    <w:rsid w:val="0092007A"/>
    <w:rsid w:val="00960A9A"/>
    <w:rsid w:val="00B02B28"/>
    <w:rsid w:val="00B31DB3"/>
    <w:rsid w:val="00B430FD"/>
    <w:rsid w:val="00D639A1"/>
    <w:rsid w:val="00EC5CFD"/>
    <w:rsid w:val="00F066E2"/>
    <w:rsid w:val="00F60343"/>
    <w:rsid w:val="00F93FF9"/>
    <w:rsid w:val="01A35D75"/>
    <w:rsid w:val="09CB6532"/>
    <w:rsid w:val="0A8A355B"/>
    <w:rsid w:val="0DDE7D98"/>
    <w:rsid w:val="0F984252"/>
    <w:rsid w:val="117D1475"/>
    <w:rsid w:val="12982082"/>
    <w:rsid w:val="18155255"/>
    <w:rsid w:val="1825490D"/>
    <w:rsid w:val="194018C2"/>
    <w:rsid w:val="19D47E71"/>
    <w:rsid w:val="1BCB1EEA"/>
    <w:rsid w:val="1BE2484A"/>
    <w:rsid w:val="1C202BA4"/>
    <w:rsid w:val="1EA73DB5"/>
    <w:rsid w:val="1FCE4CF9"/>
    <w:rsid w:val="20BC0DC0"/>
    <w:rsid w:val="24DB5502"/>
    <w:rsid w:val="26881659"/>
    <w:rsid w:val="28044864"/>
    <w:rsid w:val="2DF7091B"/>
    <w:rsid w:val="2FB51C67"/>
    <w:rsid w:val="32B57A5C"/>
    <w:rsid w:val="33914B68"/>
    <w:rsid w:val="340262F5"/>
    <w:rsid w:val="36270F3D"/>
    <w:rsid w:val="384D29C3"/>
    <w:rsid w:val="39E44E71"/>
    <w:rsid w:val="3C5814AA"/>
    <w:rsid w:val="43755243"/>
    <w:rsid w:val="446B6768"/>
    <w:rsid w:val="475E17DB"/>
    <w:rsid w:val="48B11DCA"/>
    <w:rsid w:val="499A7D0D"/>
    <w:rsid w:val="49F2369D"/>
    <w:rsid w:val="4A9E1161"/>
    <w:rsid w:val="4B0B736E"/>
    <w:rsid w:val="52D95B80"/>
    <w:rsid w:val="539B0F20"/>
    <w:rsid w:val="54C319A4"/>
    <w:rsid w:val="551A7B03"/>
    <w:rsid w:val="56903287"/>
    <w:rsid w:val="57A42203"/>
    <w:rsid w:val="58F30672"/>
    <w:rsid w:val="5C7F7768"/>
    <w:rsid w:val="5D68021B"/>
    <w:rsid w:val="5D7C07FE"/>
    <w:rsid w:val="5DB66383"/>
    <w:rsid w:val="6102728E"/>
    <w:rsid w:val="614970BB"/>
    <w:rsid w:val="61C974C4"/>
    <w:rsid w:val="624237D4"/>
    <w:rsid w:val="633875E0"/>
    <w:rsid w:val="6C69259D"/>
    <w:rsid w:val="6E13729B"/>
    <w:rsid w:val="702E6AF5"/>
    <w:rsid w:val="714D1C95"/>
    <w:rsid w:val="73A418CE"/>
    <w:rsid w:val="76217DD9"/>
    <w:rsid w:val="77A37053"/>
    <w:rsid w:val="77CD38A0"/>
    <w:rsid w:val="78250160"/>
    <w:rsid w:val="79263815"/>
    <w:rsid w:val="7AA7758E"/>
    <w:rsid w:val="7B6965FB"/>
    <w:rsid w:val="7DC908E7"/>
    <w:rsid w:val="7DD924E2"/>
    <w:rsid w:val="7FCE4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007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2007A"/>
    <w:pPr>
      <w:tabs>
        <w:tab w:val="center" w:pos="4153"/>
        <w:tab w:val="right" w:pos="8306"/>
      </w:tabs>
      <w:snapToGrid w:val="0"/>
      <w:jc w:val="left"/>
    </w:pPr>
    <w:rPr>
      <w:sz w:val="18"/>
    </w:rPr>
  </w:style>
  <w:style w:type="table" w:styleId="a4">
    <w:name w:val="Table Grid"/>
    <w:basedOn w:val="a1"/>
    <w:uiPriority w:val="59"/>
    <w:qFormat/>
    <w:rsid w:val="009200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rsid w:val="004562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5622D"/>
    <w:rPr>
      <w:rFonts w:asciiTheme="minorHAnsi" w:eastAsiaTheme="minorEastAsia" w:hAnsiTheme="minorHAnsi" w:cstheme="minorBidi"/>
      <w:kern w:val="2"/>
      <w:sz w:val="18"/>
      <w:szCs w:val="18"/>
    </w:rPr>
  </w:style>
  <w:style w:type="paragraph" w:styleId="a6">
    <w:name w:val="List Paragraph"/>
    <w:basedOn w:val="a"/>
    <w:uiPriority w:val="99"/>
    <w:unhideWhenUsed/>
    <w:rsid w:val="00863DD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402</Words>
  <Characters>71</Characters>
  <Application>Microsoft Office Word</Application>
  <DocSecurity>0</DocSecurity>
  <Lines>7</Lines>
  <Paragraphs>39</Paragraphs>
  <ScaleCrop>false</ScaleCrop>
  <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dcterms:created xsi:type="dcterms:W3CDTF">2014-10-29T12:08:00Z</dcterms:created>
  <dcterms:modified xsi:type="dcterms:W3CDTF">2019-05-16T04:07:00Z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