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马力图仁筒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1CEE"/>
    <w:rsid w:val="2DC61CEE"/>
    <w:rsid w:val="373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2019-12-17T06:49:00Z</dcterms:created>
  <dc:creator>Administrator</dc:creator>
  <cp:lastModifiedBy>倪树娟15149914056</cp:lastModifiedBy>
  <cp:lastPrinted>2019-12-24T03:51:13Z</cp:lastPrinted>
  <dcterms:modified xsi:type="dcterms:W3CDTF">2019-12-24T04:19:25Z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