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880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880" w:firstLineChars="200"/>
        <w:jc w:val="center"/>
        <w:textAlignment w:val="auto"/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>西孟家段</w:t>
      </w:r>
      <w:bookmarkStart w:id="0" w:name="_GoBack"/>
      <w:bookmarkEnd w:id="0"/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>村集体资产股权设置方案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880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为做好农村集体资产股权量化及管理工作，保障农村集体经济组织及其成员(股东）的合法权益，根据旗委、旗政府《关于印发奈曼旗农村集体产权制度改革试点方案的通知》（奈改办字）要求，结合我村实际制定此方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723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一、基本原则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民主决策。充分保障农民群众的民主权利，尊重农民群众的意愿。资产量化范围、股权设置办法须经本村集体经济组织成员（代表）大会讨论决定。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640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规范操作。把公开、公平、公正精神贯穿于股权量化的全过程，严格程序、依法操作，切实维护集体经济组织及其成员的合法权益。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both"/>
        <w:textAlignment w:val="auto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二、成员确认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根据旗农村集体产权制度改革文件要求，对符合条件并履行相应村民义务的人员，确认为集体经济组织成员。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both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股权设置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  <w:t>股权设置办法由村民代表会议讨论决定，并报镇政府批准。股权设置设个人股、集体股，实行一人一股制、一股一证制。在充分尊重群众意愿前提下探索创新股权设置办法。根据村集体资产和成员数进行一次性折股量化，由成员按份享有，进行股权设置。同时，在集体经济组织章程中，明确提取一定比例的公积公益金。公积公益金用于集体经济长远发展及集体公益性事务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both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四、股权管理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  <w:t>股权设置后，原则上采取“量化到人、确权（颁证）到户、户内共享、社内流转、长久不变”的静态管理办法，村集体经济组织内其成员出具股权证书，作为其占有集体资产股份、参与决策管理、享有收益的有效凭证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both"/>
        <w:textAlignment w:val="auto"/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  <w:t>在充分尊重群众意愿前提下可以探索创新股权管理办法，股权管理办法由村集体经济组织成员（代表）大会讨论决定，并报镇政府批准。股权可以在镇内流转，但是流转股份额不超过30%，流转股持股人可以按持有股份数额享受经营性资产类收益分红，但是不享有合作社成员其他权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both"/>
        <w:textAlignment w:val="auto"/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6"/>
          <w:szCs w:val="36"/>
          <w:lang w:val="en-US" w:eastAsia="zh-CN"/>
        </w:rPr>
        <w:t>五、组织实施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0" w:firstLine="640" w:firstLineChars="200"/>
        <w:jc w:val="both"/>
        <w:textAlignment w:val="auto"/>
        <w:rPr>
          <w:rFonts w:hint="default" w:asciiTheme="majorEastAsia" w:hAnsiTheme="majorEastAsia" w:eastAsiaTheme="majorEastAsia" w:cstheme="majorEastAsia"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  <w:t>高度重视、严格程序、规范操作，认真组织开展股权设置工作。</w:t>
      </w:r>
      <w:r>
        <w:rPr>
          <w:rFonts w:hint="eastAsia" w:asciiTheme="majorEastAsia" w:hAnsiTheme="majorEastAsia" w:eastAsiaTheme="majorEastAsia" w:cstheme="majorEastAsia"/>
          <w:sz w:val="32"/>
          <w:szCs w:val="32"/>
          <w:lang w:val="en-US" w:eastAsia="zh-CN"/>
        </w:rPr>
        <w:t>严格按照成员确认、资产量化、股权设置、股权管理等步骤，序时推进、环环相扣，坚决杜绝“搞形式、走过场”，扎实有序做好股权量化工作，确保工作实效。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both"/>
        <w:textAlignment w:val="auto"/>
        <w:rPr>
          <w:rFonts w:hint="default" w:asciiTheme="majorEastAsia" w:hAnsiTheme="majorEastAsia" w:eastAsiaTheme="majorEastAsia" w:cstheme="majorEastAsia"/>
          <w:b w:val="0"/>
          <w:bCs w:val="0"/>
          <w:sz w:val="32"/>
          <w:szCs w:val="32"/>
          <w:lang w:val="en-US" w:eastAsia="zh-CN"/>
        </w:rPr>
      </w:pPr>
    </w:p>
    <w:p/>
    <w:sectPr>
      <w:pgSz w:w="11906" w:h="16838"/>
      <w:pgMar w:top="1417" w:right="1701" w:bottom="1417" w:left="1701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C21257A8"/>
    <w:multiLevelType w:val="singleLevel"/>
    <w:tmpl w:val="C21257A8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abstractNum w:abstractNumId="1">
    <w:nsid w:val="F73F41B1"/>
    <w:multiLevelType w:val="singleLevel"/>
    <w:tmpl w:val="F73F41B1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02246E7"/>
    <w:rsid w:val="10E42586"/>
    <w:rsid w:val="60224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2019-12-17T07:44:00Z</dcterms:created>
  <dc:creator>Administrator</dc:creator>
  <cp:lastModifiedBy>戒烟戒酒不戒你&amp;&amp;</cp:lastModifiedBy>
  <dcterms:modified xsi:type="dcterms:W3CDTF">2019-12-26T02:50:19Z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