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毛盖图村集体资产量化方案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三、资产量化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及电力、生产管理用房、防灾减灾设施设备等非生产服务性资产，明确管护权，落实管护责任，确保其正常运行和发挥效益；对非经营性资产（公益性资产），村可视情况而定，一般只登记产权（权属、名称等），制定保护性措施和正常运行管理办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257A8"/>
    <w:multiLevelType w:val="singleLevel"/>
    <w:tmpl w:val="C2125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1CEE"/>
    <w:rsid w:val="2DC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2019-12-17T06:49:00Z</dcterms:created>
  <dc:creator>Administrator</dc:creator>
  <cp:lastModifiedBy>Administrator</cp:lastModifiedBy>
  <dcterms:modified xsi:type="dcterms:W3CDTF">2019-12-17T07:27:28Z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村集体资产量化方案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三、资产量化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及电力、生产管理用房、防灾减灾设施设备等非生产服务性资产，明确管护权，落实管护责任，确保其正常运行和发挥效益；对非经营性资产（公益性资产），村可视情况而定，一般只登记产权（权属、名称等），制定保护性措施和正常运行管理办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treport/opRecord.xml>p_1(1_0);
</file>