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ascii="黑体" w:hAnsi="黑体" w:eastAsia="黑体" w:cs="仿宋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财务管理与收益分配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制度</w:t>
      </w:r>
    </w:p>
    <w:p>
      <w:pPr>
        <w:spacing w:line="480" w:lineRule="exact"/>
        <w:jc w:val="center"/>
        <w:rPr>
          <w:rFonts w:ascii="黑体" w:hAnsi="黑体" w:eastAsia="黑体" w:cs="仿宋"/>
          <w:sz w:val="32"/>
          <w:szCs w:val="32"/>
        </w:rPr>
      </w:pP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本社实行独立的财务管理和会计核算，严格执行财政部制定的《村集体经济组织会计制度》，严格遵照和贯彻省、市、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旗、</w:t>
      </w:r>
      <w:r>
        <w:rPr>
          <w:rFonts w:hint="eastAsia" w:ascii="仿宋" w:hAnsi="仿宋" w:eastAsia="仿宋" w:cs="仿宋"/>
          <w:sz w:val="32"/>
          <w:szCs w:val="32"/>
        </w:rPr>
        <w:t>镇和股东代表大会通过和制定的财务管理制度，切实加强财务管理和会计核算。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本社设会计一名，负责财务工作，委托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义隆永镇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农牧业经营管理站</w:t>
      </w:r>
      <w:r>
        <w:rPr>
          <w:rFonts w:hint="eastAsia" w:ascii="仿宋" w:hAnsi="仿宋" w:eastAsia="仿宋" w:cs="仿宋"/>
          <w:sz w:val="32"/>
          <w:szCs w:val="32"/>
        </w:rPr>
        <w:t>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理，实行民主理财、民主监督、民主管理。本社各项收支必须经监事会审核签章后方可入账，重大财务事项必须接受监事会的事前、事中和事后监督。本社应充分保障村和合作社必要、合理的经费开支。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财务收支情况和资产营运情况经监事会审查监督后，按月逐笔明细进行公开，接受股东监督。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财务预决算报告、重大开支项目和收益分配方案，履行第十一条前置程序后，经股东代表大会审议通过。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本社实行按股分红、量入为出、保障公平的分配原则。无收益不得分配，严禁举债分配。当年可分配收益按照如下顺序分配：</w:t>
      </w:r>
    </w:p>
    <w:p>
      <w:pPr>
        <w:numPr>
          <w:ilvl w:val="255"/>
          <w:numId w:val="0"/>
        </w:numPr>
        <w:spacing w:line="4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（一）根据实际需求从当年收益中提取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ascii="仿宋" w:hAnsi="仿宋" w:eastAsia="仿宋" w:cs="仿宋"/>
          <w:sz w:val="32"/>
          <w:szCs w:val="32"/>
        </w:rPr>
        <w:t xml:space="preserve"> %</w:t>
      </w:r>
      <w:r>
        <w:rPr>
          <w:rFonts w:hint="eastAsia" w:ascii="仿宋" w:hAnsi="仿宋" w:eastAsia="仿宋" w:cs="仿宋"/>
          <w:sz w:val="32"/>
          <w:szCs w:val="32"/>
        </w:rPr>
        <w:t>的公积公益金，用于扩大再生产、弥补亏损，或用于集体公益性事业。经股东（代表）大会讨论通过后，在取得非经营性资产收益后，可以将补偿款纳入公积公益金。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（二）提取公积公益金后，剩余部分用于股权分红，分红以现金或实物形式进行分配。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（三）对占用征收的土地补偿款，可暂按集体资产产权制度改革基准日前的分配方式执行。</w:t>
      </w:r>
      <w:r>
        <w:rPr>
          <w:rFonts w:ascii="仿宋" w:hAnsi="仿宋" w:eastAsia="仿宋" w:cs="仿宋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其他土地和非经营性资产因征收等事项变现后，补偿款作为土地和非经营性资产置换的资产，本社对资产收益按年度进行分配。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本社的分配方案，不得违背有关法规政策及章程规定，报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镇核准，由股东（代表）大会审议表决通过后执行。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本社股东的行为违反《村规民约》规定的，股权收益按《村规民约》规定执行。</w:t>
      </w:r>
    </w:p>
    <w:p>
      <w:pPr>
        <w:spacing w:line="480" w:lineRule="exact"/>
        <w:ind w:firstLine="570"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F50D5"/>
    <w:rsid w:val="656B4F46"/>
    <w:rsid w:val="76A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2019-10-22T02:14:00Z</dcterms:created>
  <dc:creator>Lenovo</dc:creator>
  <cp:lastModifiedBy>Lenovo</cp:lastModifiedBy>
  <dcterms:modified xsi:type="dcterms:W3CDTF">2019-10-22T02:58:00Z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