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sz w:val="44"/>
          <w:szCs w:val="44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宋体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宋体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宋体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宋体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宋体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宋体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宋体" w:hAnsi="宋体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/>
        </w:rPr>
      </w:pPr>
      <w:r>
        <w:rPr>
          <w:rFonts w:hint="eastAsia" w:ascii="宋体" w:hAnsi="宋体"/>
        </w:rPr>
        <w:t>奈商粮</w:t>
      </w:r>
      <w:r>
        <w:rPr>
          <w:rFonts w:hint="eastAsia" w:ascii="宋体" w:hAnsi="宋体"/>
          <w:lang w:eastAsia="zh-CN"/>
        </w:rPr>
        <w:t>发</w:t>
      </w:r>
      <w:r>
        <w:rPr>
          <w:rFonts w:ascii="仿宋" w:hAnsi="仿宋" w:eastAsia="仿宋" w:cs="仿宋"/>
        </w:rPr>
        <w:t>[</w:t>
      </w:r>
      <w:r>
        <w:rPr>
          <w:rFonts w:ascii="宋体" w:hAnsi="宋体" w:eastAsia="仿宋"/>
        </w:rPr>
        <w:t>201</w:t>
      </w:r>
      <w:r>
        <w:rPr>
          <w:rFonts w:hint="eastAsia" w:ascii="宋体" w:hAnsi="宋体" w:eastAsia="仿宋"/>
          <w:lang w:val="en-US" w:eastAsia="zh-CN"/>
        </w:rPr>
        <w:t>9</w:t>
      </w:r>
      <w:r>
        <w:rPr>
          <w:rFonts w:ascii="仿宋" w:hAnsi="仿宋" w:eastAsia="仿宋" w:cs="仿宋"/>
        </w:rPr>
        <w:t>]</w:t>
      </w: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宋体" w:hAnsi="宋体"/>
        </w:rPr>
        <w:t>号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商粮局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财经纪律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2640" w:firstLineChars="600"/>
        <w:jc w:val="both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执行情况整改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旗财政局：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根据旗财政局《关于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财经纪律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的通知》精神，结合本单位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在财经纪律和各项规章制度执行情况进</w:t>
      </w:r>
      <w:r>
        <w:rPr>
          <w:rFonts w:hint="eastAsia" w:ascii="仿宋_GB2312" w:hAnsi="仿宋_GB2312" w:eastAsia="仿宋_GB2312" w:cs="仿宋_GB2312"/>
          <w:sz w:val="32"/>
          <w:szCs w:val="32"/>
        </w:rPr>
        <w:t>行了自查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自纠，上报了自查自纠报告并进行整改，结合“预算单位整改项目统计表”，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将自查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自纠存在的问题及整改情况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预算执行情况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及存在问题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1、公务车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运行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维护</w:t>
      </w:r>
      <w:r>
        <w:rPr>
          <w:rFonts w:hint="eastAsia" w:ascii="仿宋_GB2312" w:hAnsi="仿宋_GB2312" w:eastAsia="仿宋_GB2312" w:cs="仿宋_GB2312"/>
          <w:sz w:val="32"/>
          <w:szCs w:val="32"/>
        </w:rPr>
        <w:t>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单位有公务车和执法用车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各一辆</w:t>
      </w:r>
      <w:r>
        <w:rPr>
          <w:rFonts w:hint="eastAsia" w:ascii="仿宋_GB2312" w:hAnsi="仿宋_GB2312" w:eastAsia="仿宋_GB2312" w:cs="仿宋_GB2312"/>
          <w:sz w:val="32"/>
          <w:szCs w:val="32"/>
        </w:rPr>
        <w:t>，2016年公务车运行及维护费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年初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预算5.00万元，年末实际支出6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.75万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较年初预算对比超支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.75万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超支的主要原因是增加的“十个全覆盖工程”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驻村工作队下乡、</w:t>
      </w:r>
      <w:r>
        <w:rPr>
          <w:rFonts w:hint="eastAsia" w:ascii="仿宋_GB2312" w:hAnsi="仿宋_GB2312" w:eastAsia="仿宋_GB2312" w:cs="仿宋_GB2312"/>
          <w:sz w:val="32"/>
          <w:szCs w:val="32"/>
        </w:rPr>
        <w:t>扶贫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包村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队员</w:t>
      </w:r>
      <w:r>
        <w:rPr>
          <w:rFonts w:hint="eastAsia" w:ascii="仿宋_GB2312" w:hAnsi="仿宋_GB2312" w:eastAsia="仿宋_GB2312" w:cs="仿宋_GB2312"/>
          <w:sz w:val="32"/>
          <w:szCs w:val="32"/>
        </w:rPr>
        <w:t>下乡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申办电子商务综合示范县项目立项考察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及商务综合执法督查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各项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工作增加的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公务车</w:t>
      </w:r>
      <w:r>
        <w:rPr>
          <w:rFonts w:hint="eastAsia" w:ascii="仿宋_GB2312" w:hAnsi="仿宋_GB2312" w:eastAsia="仿宋_GB2312" w:cs="仿宋_GB2312"/>
          <w:sz w:val="32"/>
          <w:szCs w:val="32"/>
        </w:rPr>
        <w:t>汽油费支出。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2、公务接待费支出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2016年公务接待费年初预算2.00万元，年末实际支出3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.53万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元，按年初预算对比超支1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.53万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年公务接待费年初预算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.00万元，年末实际支出3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.63万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年初预算对比超支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2.63万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以上两年公务接待费超支的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主要原因是电子商务综合示范县项目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检查、验收和商务系统招商引资接待客商</w:t>
      </w:r>
      <w:r>
        <w:rPr>
          <w:rFonts w:hint="eastAsia" w:ascii="仿宋_GB2312" w:hAnsi="仿宋_GB2312" w:eastAsia="仿宋_GB2312" w:cs="仿宋_GB2312"/>
          <w:sz w:val="32"/>
          <w:szCs w:val="32"/>
        </w:rPr>
        <w:t>等增加的接待费用支出。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3、处置资产收入、出租出借收入：未发生。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、非税收入：2016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取</w:t>
      </w:r>
      <w:r>
        <w:rPr>
          <w:rFonts w:hint="eastAsia" w:ascii="仿宋_GB2312" w:hAnsi="仿宋_GB2312" w:eastAsia="仿宋_GB2312" w:cs="仿宋_GB2312"/>
          <w:sz w:val="32"/>
          <w:szCs w:val="32"/>
        </w:rPr>
        <w:t>大段牧场土地租金7.88万元，收缴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当日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及时上缴预算外资金管理局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，按“收支两条线”进行管理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财务核算“日清月结”方面，在“日清”方面执行的不够严格，需要加强。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加强财务核算，严肃财经纪律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在内部控制体系建设和内部控制制度执行方面还存在着很大的差距，今后要进一步完善内部控制制度，严格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财政专项资金管理、财务核算和</w:t>
      </w:r>
      <w:r>
        <w:rPr>
          <w:rFonts w:hint="eastAsia" w:ascii="仿宋_GB2312" w:hAnsi="仿宋_GB2312" w:eastAsia="仿宋_GB2312" w:cs="仿宋_GB2312"/>
          <w:sz w:val="32"/>
          <w:szCs w:val="32"/>
        </w:rPr>
        <w:t>内部监督，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严肃财经纪律，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财政资金运行安全和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各项财政政策有效落实。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1、预算单位整改项目统计表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2、商粮局财经纪律执行情况自查自纠报告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160" w:firstLineChars="13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160" w:firstLineChars="13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奈曼旗商务和粮食局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80" w:firstLineChars="14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80" w:firstLineChars="14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80" w:firstLineChars="14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80" w:firstLineChars="14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80" w:firstLineChars="14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80" w:firstLineChars="14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80" w:firstLineChars="14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80" w:firstLineChars="14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80" w:firstLineChars="14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80" w:firstLineChars="14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80" w:firstLineChars="14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9"/>
        <w:tblW w:w="1002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4108"/>
        <w:gridCol w:w="24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4"/>
              <w:spacing w:line="52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</w:rPr>
              <w:t>预算单位整改项目统计表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2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 xml:space="preserve"> 单位名称：</w:t>
            </w: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  <w:lang w:eastAsia="zh-CN"/>
              </w:rPr>
              <w:t>奈曼旗商务和粮食局</w:t>
            </w: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 xml:space="preserve">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</w:t>
            </w:r>
          </w:p>
        </w:tc>
        <w:tc>
          <w:tcPr>
            <w:tcW w:w="4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建设情况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1、单位财务管理制度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有</w:t>
            </w: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line="360" w:lineRule="exact"/>
              <w:ind w:left="1842" w:leftChars="87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2、单位财务审批制度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jc w:val="center"/>
              <w:rPr>
                <w:rFonts w:hint="eastAsia" w:ascii="宋体" w:hAnsi="宋体" w:eastAsia="微软雅黑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有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3、单位现金管理制度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有</w:t>
            </w: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4、单位资产管理制度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有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5、是否执行“收支两条线”管理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是</w:t>
            </w: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6、单位印鉴管理制度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有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7、发票使用是否符合规定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是</w:t>
            </w: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8、单位差旅费报销制度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有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9、财务是否做到日清月结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jc w:val="center"/>
              <w:rPr>
                <w:rFonts w:hint="eastAsia" w:ascii="宋体" w:hAnsi="宋体" w:eastAsia="微软雅黑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有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line="360" w:lineRule="exact"/>
              <w:jc w:val="center"/>
              <w:rPr>
                <w:rFonts w:hint="eastAsia" w:ascii="宋体" w:hAnsi="宋体" w:eastAsia="微软雅黑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财务“日清月结”工作方面，在“日清”方面执行的不够严格，需加强。</w:t>
            </w: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10、内部审计制度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有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11、票据管理制度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jc w:val="center"/>
              <w:rPr>
                <w:rFonts w:hint="eastAsia" w:ascii="宋体" w:hAnsi="宋体" w:eastAsia="微软雅黑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有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002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注：项目建设情况一栏中，单位各项制度已经建立的填“有”、未建立制度的填“无”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27C4C"/>
    <w:rsid w:val="000213BB"/>
    <w:rsid w:val="00067061"/>
    <w:rsid w:val="000E0C08"/>
    <w:rsid w:val="003378D1"/>
    <w:rsid w:val="00471F10"/>
    <w:rsid w:val="006B60F3"/>
    <w:rsid w:val="006C3F00"/>
    <w:rsid w:val="00791DB2"/>
    <w:rsid w:val="00B1233D"/>
    <w:rsid w:val="00C610ED"/>
    <w:rsid w:val="00C830D0"/>
    <w:rsid w:val="00CA2A9C"/>
    <w:rsid w:val="00E12069"/>
    <w:rsid w:val="00F232C2"/>
    <w:rsid w:val="011C7FB7"/>
    <w:rsid w:val="028A376B"/>
    <w:rsid w:val="02972060"/>
    <w:rsid w:val="02AC16B8"/>
    <w:rsid w:val="02D66435"/>
    <w:rsid w:val="03DF2BBE"/>
    <w:rsid w:val="04544375"/>
    <w:rsid w:val="0532626A"/>
    <w:rsid w:val="05694E64"/>
    <w:rsid w:val="05847ADD"/>
    <w:rsid w:val="0740478A"/>
    <w:rsid w:val="07704DE8"/>
    <w:rsid w:val="07E42A1E"/>
    <w:rsid w:val="08474BF0"/>
    <w:rsid w:val="086B36E9"/>
    <w:rsid w:val="088131DB"/>
    <w:rsid w:val="0896340C"/>
    <w:rsid w:val="095864A8"/>
    <w:rsid w:val="09A7271D"/>
    <w:rsid w:val="0A6976AA"/>
    <w:rsid w:val="0DB32ED7"/>
    <w:rsid w:val="0F1B5CDC"/>
    <w:rsid w:val="0F6971CA"/>
    <w:rsid w:val="0FE32A72"/>
    <w:rsid w:val="10437B5B"/>
    <w:rsid w:val="10E142A7"/>
    <w:rsid w:val="12BF07E5"/>
    <w:rsid w:val="13824A18"/>
    <w:rsid w:val="138B1C05"/>
    <w:rsid w:val="13E005AB"/>
    <w:rsid w:val="13FB0EF9"/>
    <w:rsid w:val="145125B2"/>
    <w:rsid w:val="147F08FC"/>
    <w:rsid w:val="156C0142"/>
    <w:rsid w:val="160F7552"/>
    <w:rsid w:val="1637085B"/>
    <w:rsid w:val="16511C56"/>
    <w:rsid w:val="17FB4E55"/>
    <w:rsid w:val="18AE3B26"/>
    <w:rsid w:val="192D1450"/>
    <w:rsid w:val="19511F71"/>
    <w:rsid w:val="1952113F"/>
    <w:rsid w:val="19CD0ADC"/>
    <w:rsid w:val="1AE30713"/>
    <w:rsid w:val="1D212177"/>
    <w:rsid w:val="1D673CA9"/>
    <w:rsid w:val="1DE75879"/>
    <w:rsid w:val="1E1A5F6F"/>
    <w:rsid w:val="1E6A5BB3"/>
    <w:rsid w:val="1EF5138E"/>
    <w:rsid w:val="1FE465BB"/>
    <w:rsid w:val="20B474F6"/>
    <w:rsid w:val="20E4548A"/>
    <w:rsid w:val="211C7720"/>
    <w:rsid w:val="21230ECA"/>
    <w:rsid w:val="21616781"/>
    <w:rsid w:val="21A43471"/>
    <w:rsid w:val="227105D4"/>
    <w:rsid w:val="22C10C92"/>
    <w:rsid w:val="22D473F3"/>
    <w:rsid w:val="23B17F38"/>
    <w:rsid w:val="25CA5555"/>
    <w:rsid w:val="25F265C2"/>
    <w:rsid w:val="26224B78"/>
    <w:rsid w:val="26940FF5"/>
    <w:rsid w:val="26D10C93"/>
    <w:rsid w:val="26D11A8B"/>
    <w:rsid w:val="27163E87"/>
    <w:rsid w:val="27196DF8"/>
    <w:rsid w:val="278628B7"/>
    <w:rsid w:val="28381926"/>
    <w:rsid w:val="285562C5"/>
    <w:rsid w:val="285C70FC"/>
    <w:rsid w:val="28B91109"/>
    <w:rsid w:val="28FF17C4"/>
    <w:rsid w:val="296601AB"/>
    <w:rsid w:val="29BA4102"/>
    <w:rsid w:val="2A374153"/>
    <w:rsid w:val="2A8351D3"/>
    <w:rsid w:val="2ABB7070"/>
    <w:rsid w:val="2B5B4E37"/>
    <w:rsid w:val="2C0C3816"/>
    <w:rsid w:val="2C0F78FD"/>
    <w:rsid w:val="2CAC0DB2"/>
    <w:rsid w:val="2CB54C98"/>
    <w:rsid w:val="2D910532"/>
    <w:rsid w:val="2DC4351B"/>
    <w:rsid w:val="2DF7772C"/>
    <w:rsid w:val="2EA40D5D"/>
    <w:rsid w:val="2ED81EB7"/>
    <w:rsid w:val="2F9329A4"/>
    <w:rsid w:val="2FD33BF9"/>
    <w:rsid w:val="301E6B3D"/>
    <w:rsid w:val="30223945"/>
    <w:rsid w:val="318E5D2C"/>
    <w:rsid w:val="326E3999"/>
    <w:rsid w:val="32B36C02"/>
    <w:rsid w:val="3307569F"/>
    <w:rsid w:val="33AB373F"/>
    <w:rsid w:val="33D97DDB"/>
    <w:rsid w:val="34565E3B"/>
    <w:rsid w:val="351C661D"/>
    <w:rsid w:val="36945F83"/>
    <w:rsid w:val="372A2F5D"/>
    <w:rsid w:val="37AB16FC"/>
    <w:rsid w:val="38757C7C"/>
    <w:rsid w:val="39091906"/>
    <w:rsid w:val="3A2C0A66"/>
    <w:rsid w:val="3A8C18B6"/>
    <w:rsid w:val="3AD266CD"/>
    <w:rsid w:val="3AD750EF"/>
    <w:rsid w:val="3B224378"/>
    <w:rsid w:val="3C005C0B"/>
    <w:rsid w:val="3C5F196D"/>
    <w:rsid w:val="3D6C5C12"/>
    <w:rsid w:val="3DC8537E"/>
    <w:rsid w:val="3E3D5FFB"/>
    <w:rsid w:val="3E523F25"/>
    <w:rsid w:val="3E6239B1"/>
    <w:rsid w:val="3E801F80"/>
    <w:rsid w:val="3EAB7FBC"/>
    <w:rsid w:val="3F195A1E"/>
    <w:rsid w:val="3F9B6932"/>
    <w:rsid w:val="40CB29D0"/>
    <w:rsid w:val="413719FA"/>
    <w:rsid w:val="418E2C90"/>
    <w:rsid w:val="41A96D1D"/>
    <w:rsid w:val="41F43402"/>
    <w:rsid w:val="4231760F"/>
    <w:rsid w:val="42750D4C"/>
    <w:rsid w:val="430621DF"/>
    <w:rsid w:val="43735C9A"/>
    <w:rsid w:val="43FF1DA7"/>
    <w:rsid w:val="4714064C"/>
    <w:rsid w:val="477229F8"/>
    <w:rsid w:val="47A67C09"/>
    <w:rsid w:val="483C08B8"/>
    <w:rsid w:val="485642F9"/>
    <w:rsid w:val="4926694C"/>
    <w:rsid w:val="49F858AF"/>
    <w:rsid w:val="4B340C0D"/>
    <w:rsid w:val="4C0E7B6A"/>
    <w:rsid w:val="4CB90956"/>
    <w:rsid w:val="4D141BA0"/>
    <w:rsid w:val="4DFC03F6"/>
    <w:rsid w:val="4E3B4B30"/>
    <w:rsid w:val="4E463A01"/>
    <w:rsid w:val="4F4B34FB"/>
    <w:rsid w:val="4F786716"/>
    <w:rsid w:val="513A258A"/>
    <w:rsid w:val="51AC3264"/>
    <w:rsid w:val="51C154C8"/>
    <w:rsid w:val="51D46037"/>
    <w:rsid w:val="53392889"/>
    <w:rsid w:val="539E5CFA"/>
    <w:rsid w:val="55003619"/>
    <w:rsid w:val="550D3E49"/>
    <w:rsid w:val="55A55ADE"/>
    <w:rsid w:val="560C1BF3"/>
    <w:rsid w:val="56CE7E40"/>
    <w:rsid w:val="56E570C6"/>
    <w:rsid w:val="570571BA"/>
    <w:rsid w:val="5797786C"/>
    <w:rsid w:val="581D6060"/>
    <w:rsid w:val="582108C3"/>
    <w:rsid w:val="58623D58"/>
    <w:rsid w:val="58A07F82"/>
    <w:rsid w:val="58CF081F"/>
    <w:rsid w:val="59BF4F85"/>
    <w:rsid w:val="5AD24513"/>
    <w:rsid w:val="5B10743E"/>
    <w:rsid w:val="5CAC0142"/>
    <w:rsid w:val="5D6720B5"/>
    <w:rsid w:val="5EA16FEF"/>
    <w:rsid w:val="5EC540A3"/>
    <w:rsid w:val="606E278A"/>
    <w:rsid w:val="619E1C2C"/>
    <w:rsid w:val="61B71E2D"/>
    <w:rsid w:val="61C34B09"/>
    <w:rsid w:val="622D5070"/>
    <w:rsid w:val="62380CF8"/>
    <w:rsid w:val="62ED4369"/>
    <w:rsid w:val="63B27C4C"/>
    <w:rsid w:val="63FD75C8"/>
    <w:rsid w:val="64425580"/>
    <w:rsid w:val="644F138F"/>
    <w:rsid w:val="64634411"/>
    <w:rsid w:val="6466257C"/>
    <w:rsid w:val="6475794A"/>
    <w:rsid w:val="667E2CCB"/>
    <w:rsid w:val="66FC0BF3"/>
    <w:rsid w:val="671648D6"/>
    <w:rsid w:val="67390B0C"/>
    <w:rsid w:val="687C6B4E"/>
    <w:rsid w:val="69266846"/>
    <w:rsid w:val="6952653F"/>
    <w:rsid w:val="69D7696C"/>
    <w:rsid w:val="6A4C5A8D"/>
    <w:rsid w:val="6AA6157E"/>
    <w:rsid w:val="6ACC3E44"/>
    <w:rsid w:val="6BE924F5"/>
    <w:rsid w:val="6C131331"/>
    <w:rsid w:val="6D4865DC"/>
    <w:rsid w:val="6DD64BC6"/>
    <w:rsid w:val="6DF91E59"/>
    <w:rsid w:val="6E1C0C9C"/>
    <w:rsid w:val="6E7050F0"/>
    <w:rsid w:val="6E961A9F"/>
    <w:rsid w:val="6EC85926"/>
    <w:rsid w:val="6EF05C49"/>
    <w:rsid w:val="6F1F5F6F"/>
    <w:rsid w:val="6F6C12C9"/>
    <w:rsid w:val="6FD003F6"/>
    <w:rsid w:val="706B5EB5"/>
    <w:rsid w:val="714D0D0E"/>
    <w:rsid w:val="71744239"/>
    <w:rsid w:val="727D158F"/>
    <w:rsid w:val="73F26289"/>
    <w:rsid w:val="747E7CB8"/>
    <w:rsid w:val="760233CF"/>
    <w:rsid w:val="76F20FC6"/>
    <w:rsid w:val="78452E99"/>
    <w:rsid w:val="785059A2"/>
    <w:rsid w:val="789A7E2D"/>
    <w:rsid w:val="7A92687F"/>
    <w:rsid w:val="7AAA4825"/>
    <w:rsid w:val="7C233436"/>
    <w:rsid w:val="7C4409FC"/>
    <w:rsid w:val="7C510917"/>
    <w:rsid w:val="7C923CEF"/>
    <w:rsid w:val="7CBB6CE6"/>
    <w:rsid w:val="7D473284"/>
    <w:rsid w:val="7D72762C"/>
    <w:rsid w:val="7D9867F9"/>
    <w:rsid w:val="7E2C2CFE"/>
    <w:rsid w:val="7E6E02EC"/>
    <w:rsid w:val="7E736521"/>
    <w:rsid w:val="7F17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9"/>
    <w:pPr>
      <w:jc w:val="left"/>
      <w:outlineLvl w:val="0"/>
    </w:pPr>
    <w:rPr>
      <w:rFonts w:ascii="黑体" w:hAnsi="黑体" w:eastAsia="黑体"/>
      <w:sz w:val="28"/>
      <w:szCs w:val="28"/>
    </w:rPr>
  </w:style>
  <w:style w:type="character" w:default="1" w:styleId="7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jc w:val="left"/>
    </w:pPr>
    <w:rPr>
      <w:rFonts w:ascii="宋体" w:hAnsi="Courier New" w:cs="宋体"/>
      <w:sz w:val="2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Footer Char"/>
    <w:basedOn w:val="7"/>
    <w:link w:val="4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Header Char"/>
    <w:basedOn w:val="7"/>
    <w:link w:val="5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paragraph" w:customStyle="1" w:styleId="13">
    <w:name w:val="p16"/>
    <w:basedOn w:val="1"/>
    <w:qFormat/>
    <w:uiPriority w:val="99"/>
    <w:pPr>
      <w:widowControl/>
    </w:pPr>
    <w:rPr>
      <w:kern w:val="0"/>
      <w:sz w:val="32"/>
      <w:szCs w:val="32"/>
    </w:rPr>
  </w:style>
  <w:style w:type="paragraph" w:customStyle="1" w:styleId="14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106</Words>
  <Characters>609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2017-03-30T03:16:00Z</dcterms:created>
  <dc:creator>Administrator</dc:creator>
  <cp:lastModifiedBy>时不时的</cp:lastModifiedBy>
  <cp:lastPrinted>2019-01-24T01:22:01Z</cp:lastPrinted>
  <dcterms:modified xsi:type="dcterms:W3CDTF">2019-01-24T01:22:07Z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