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BC" w:rsidRPr="002E2C61" w:rsidRDefault="00DA57BC" w:rsidP="005110EC">
      <w:pPr>
        <w:pStyle w:val="f22"/>
        <w:shd w:val="clear" w:color="auto" w:fill="FFFFFF"/>
        <w:spacing w:before="0" w:beforeAutospacing="0" w:after="0" w:afterAutospacing="0" w:line="500" w:lineRule="exact"/>
        <w:jc w:val="center"/>
        <w:rPr>
          <w:rFonts w:ascii="FangSong_GB2312" w:eastAsia="FangSong_GB2312" w:hAnsi="微软雅黑"/>
          <w:b/>
          <w:color w:val="242424"/>
          <w:sz w:val="33"/>
          <w:szCs w:val="33"/>
        </w:rPr>
      </w:pPr>
      <w:r w:rsidRPr="002E2C61">
        <w:rPr>
          <w:rFonts w:ascii="FangSong_GB2312" w:eastAsia="FangSong_GB2312" w:hAnsi="微软雅黑" w:hint="eastAsia"/>
          <w:b/>
          <w:color w:val="242424"/>
          <w:sz w:val="33"/>
          <w:szCs w:val="33"/>
        </w:rPr>
        <w:t>《中国共产党问责条例》全文</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w:t>
      </w:r>
      <w:r w:rsidRPr="005110EC">
        <w:rPr>
          <w:rStyle w:val="a5"/>
          <w:rFonts w:ascii="FangSong_GB2312" w:eastAsia="FangSong_GB2312" w:hAnsi="微软雅黑" w:hint="eastAsia"/>
          <w:color w:val="242424"/>
        </w:rPr>
        <w:t>第一条</w:t>
      </w:r>
      <w:r w:rsidRPr="005110EC">
        <w:rPr>
          <w:rFonts w:ascii="FangSong_GB2312" w:eastAsia="FangSong_GB2312" w:hAnsi="微软雅黑" w:hint="eastAsia"/>
          <w:color w:val="242424"/>
        </w:rPr>
        <w:t>为全面从严治党，规范和强化党的问责工作，根据《中国共产党章程》，制定本条例。</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w:t>
      </w:r>
      <w:r w:rsidRPr="005110EC">
        <w:rPr>
          <w:rStyle w:val="a5"/>
          <w:rFonts w:ascii="FangSong_GB2312" w:eastAsia="FangSong_GB2312" w:hAnsi="微软雅黑" w:hint="eastAsia"/>
          <w:color w:val="242424"/>
        </w:rPr>
        <w:t>第二条</w:t>
      </w:r>
      <w:r w:rsidRPr="005110EC">
        <w:rPr>
          <w:rFonts w:ascii="FangSong_GB2312" w:eastAsia="FangSong_GB2312" w:hAnsi="微软雅黑" w:hint="eastAsia"/>
          <w:color w:val="242424"/>
        </w:rPr>
        <w:t>党的问责工作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督促党的领导干部践行忠诚干净担当。</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w:t>
      </w:r>
      <w:r w:rsidRPr="005110EC">
        <w:rPr>
          <w:rStyle w:val="a5"/>
          <w:rFonts w:ascii="FangSong_GB2312" w:eastAsia="FangSong_GB2312" w:hAnsi="微软雅黑" w:hint="eastAsia"/>
          <w:color w:val="242424"/>
        </w:rPr>
        <w:t>第三条</w:t>
      </w:r>
      <w:r w:rsidRPr="005110EC">
        <w:rPr>
          <w:rFonts w:ascii="FangSong_GB2312" w:eastAsia="FangSong_GB2312" w:hAnsi="微软雅黑" w:hint="eastAsia"/>
          <w:color w:val="242424"/>
        </w:rPr>
        <w:t>党的问责工作应当坚持的原则：依规依纪、实事求是，失责必问、问责必严，惩前毖后、治病救人，分级负责、层层落实责任。</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w:t>
      </w:r>
      <w:r w:rsidRPr="005110EC">
        <w:rPr>
          <w:rStyle w:val="a5"/>
          <w:rFonts w:ascii="FangSong_GB2312" w:eastAsia="FangSong_GB2312" w:hAnsi="微软雅黑" w:hint="eastAsia"/>
          <w:color w:val="242424"/>
        </w:rPr>
        <w:t>第四条</w:t>
      </w:r>
      <w:r w:rsidRPr="005110EC">
        <w:rPr>
          <w:rFonts w:ascii="FangSong_GB2312" w:eastAsia="FangSong_GB2312" w:hAnsi="微软雅黑" w:hint="eastAsia"/>
          <w:color w:val="242424"/>
        </w:rPr>
        <w:t>党的问责工作是由党组织按照职责权限，追究在党的建设和党的事业中失职失责党组织和党的领导干部的主体责任、监督责任和领导责任。问责对象是各级党委（党组）、党的工作部门及其领导成员，各级纪委（纪检组）及其领导成员，重点是主要负责人。</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w:t>
      </w:r>
      <w:r w:rsidRPr="005110EC">
        <w:rPr>
          <w:rStyle w:val="a5"/>
          <w:rFonts w:ascii="FangSong_GB2312" w:eastAsia="FangSong_GB2312" w:hAnsi="微软雅黑" w:hint="eastAsia"/>
          <w:color w:val="242424"/>
        </w:rPr>
        <w:t>第五条</w:t>
      </w:r>
      <w:r w:rsidRPr="005110EC">
        <w:rPr>
          <w:rFonts w:ascii="FangSong_GB2312" w:eastAsia="FangSong_GB2312" w:hAnsi="微软雅黑" w:hint="eastAsia"/>
          <w:color w:val="242424"/>
        </w:rPr>
        <w:t>问责应当分清责任。党组织领导班子在职责范围内负有全面领导责任，领导班子主要负责人和直接主管的班子成员承担主要领导责任，参与决策和工作的班子其他成员承担重要领导责任。</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w:t>
      </w:r>
      <w:r w:rsidRPr="005110EC">
        <w:rPr>
          <w:rStyle w:val="a5"/>
          <w:rFonts w:ascii="FangSong_GB2312" w:eastAsia="FangSong_GB2312" w:hAnsi="微软雅黑" w:hint="eastAsia"/>
          <w:color w:val="242424"/>
        </w:rPr>
        <w:t>第六条</w:t>
      </w:r>
      <w:r w:rsidRPr="005110EC">
        <w:rPr>
          <w:rFonts w:ascii="FangSong_GB2312" w:eastAsia="FangSong_GB2312" w:hAnsi="微软雅黑" w:hint="eastAsia"/>
          <w:color w:val="242424"/>
        </w:rPr>
        <w:t>党组织和党的领导干部违反党章和其他党内法规，不履行或者不正确履行职责，有下列情形之一的，应当予以问责：</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一）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（二）党的建设缺失，党内政治生活不正常，组织生活不健全，党组织软弱涣散，党性教育特别是理想信念宗旨教育薄弱，中央八项规定精神不落实，作风</w:t>
      </w:r>
      <w:r w:rsidRPr="005110EC">
        <w:rPr>
          <w:rFonts w:ascii="FangSong_GB2312" w:eastAsia="FangSong_GB2312" w:hAnsi="微软雅黑" w:hint="eastAsia"/>
          <w:color w:val="242424"/>
        </w:rPr>
        <w:lastRenderedPageBreak/>
        <w:t>建设流于形式，干部选拔任用工作中问题突出，党内和群众反映强烈，损害党的形象，削弱党执政的政治基础的；</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三）全面从严治党不力，主体责任、监督责任落实不到位，管党治党失之于宽松软，好人主义盛行、搞一团和气，不负责、不担当，党内监督乏力，该发现的问题没有发现，发现问题不报告不处置、不整改不问责，造成严重后果的；</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四）维护党的政治纪律、组织纪律、廉洁纪律、群众纪律、工作纪律、生活纪律不力，导致违规违纪行为多发，特别是维护政治纪律和政治规矩失职，管辖范围内有令不行、有禁不止，团团伙伙、拉帮结派问题严重，造成恶劣影响的；</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（五）推进党风廉政建设和反腐败工作不坚决、不扎实，管辖范围内腐败蔓延势头没有得到有效遏制，损害群众利益的不正之风和腐败问题突出的；</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（六）其他应当问责的失职失责情形。</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w:t>
      </w:r>
      <w:r w:rsidRPr="005110EC">
        <w:rPr>
          <w:rStyle w:val="a5"/>
          <w:rFonts w:ascii="FangSong_GB2312" w:eastAsia="FangSong_GB2312" w:hAnsi="微软雅黑" w:hint="eastAsia"/>
          <w:color w:val="242424"/>
        </w:rPr>
        <w:t>第七条</w:t>
      </w:r>
      <w:r w:rsidRPr="005110EC">
        <w:rPr>
          <w:rFonts w:ascii="FangSong_GB2312" w:eastAsia="FangSong_GB2312" w:hAnsi="微软雅黑" w:hint="eastAsia"/>
          <w:color w:val="242424"/>
        </w:rPr>
        <w:t>对党组织的问责方式包括：</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（一）</w:t>
      </w:r>
      <w:r w:rsidRPr="005110EC">
        <w:rPr>
          <w:rStyle w:val="a5"/>
          <w:rFonts w:ascii="FangSong_GB2312" w:eastAsia="FangSong_GB2312" w:hAnsi="微软雅黑" w:hint="eastAsia"/>
          <w:color w:val="242424"/>
        </w:rPr>
        <w:t>检查。</w:t>
      </w:r>
      <w:r w:rsidRPr="005110EC">
        <w:rPr>
          <w:rFonts w:ascii="FangSong_GB2312" w:eastAsia="FangSong_GB2312" w:hAnsi="微软雅黑" w:hint="eastAsia"/>
          <w:color w:val="242424"/>
        </w:rPr>
        <w:t>对履行职责不力、情节较轻的，应当责令其作出书面检查并切实整改。</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（二）</w:t>
      </w:r>
      <w:r w:rsidRPr="005110EC">
        <w:rPr>
          <w:rStyle w:val="a5"/>
          <w:rFonts w:ascii="FangSong_GB2312" w:eastAsia="FangSong_GB2312" w:hAnsi="微软雅黑" w:hint="eastAsia"/>
          <w:color w:val="242424"/>
        </w:rPr>
        <w:t>通报。</w:t>
      </w:r>
      <w:r w:rsidRPr="005110EC">
        <w:rPr>
          <w:rFonts w:ascii="FangSong_GB2312" w:eastAsia="FangSong_GB2312" w:hAnsi="微软雅黑" w:hint="eastAsia"/>
          <w:color w:val="242424"/>
        </w:rPr>
        <w:t>对履行职责不力、情节较重的，应当责令整改，并在一定范围内通报。</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（三）</w:t>
      </w:r>
      <w:r w:rsidRPr="005110EC">
        <w:rPr>
          <w:rStyle w:val="a5"/>
          <w:rFonts w:ascii="FangSong_GB2312" w:eastAsia="FangSong_GB2312" w:hAnsi="微软雅黑" w:hint="eastAsia"/>
          <w:color w:val="242424"/>
        </w:rPr>
        <w:t>改组。</w:t>
      </w:r>
      <w:r w:rsidRPr="005110EC">
        <w:rPr>
          <w:rFonts w:ascii="FangSong_GB2312" w:eastAsia="FangSong_GB2312" w:hAnsi="微软雅黑" w:hint="eastAsia"/>
          <w:color w:val="242424"/>
        </w:rPr>
        <w:t>对失职失责，严重违反党的纪律、本身又不能纠正的，应当予以改组。</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对党的领导干部的问责方式包括：</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（一）</w:t>
      </w:r>
      <w:r w:rsidRPr="005110EC">
        <w:rPr>
          <w:rStyle w:val="a5"/>
          <w:rFonts w:ascii="FangSong_GB2312" w:eastAsia="FangSong_GB2312" w:hAnsi="微软雅黑" w:hint="eastAsia"/>
          <w:color w:val="242424"/>
        </w:rPr>
        <w:t>通报。</w:t>
      </w:r>
      <w:r w:rsidRPr="005110EC">
        <w:rPr>
          <w:rFonts w:ascii="FangSong_GB2312" w:eastAsia="FangSong_GB2312" w:hAnsi="微软雅黑" w:hint="eastAsia"/>
          <w:color w:val="242424"/>
        </w:rPr>
        <w:t>对履行职责不力的，应当严肃批评，依规整改，并在一定范围内通报。</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（二）</w:t>
      </w:r>
      <w:r w:rsidRPr="005110EC">
        <w:rPr>
          <w:rStyle w:val="a5"/>
          <w:rFonts w:ascii="FangSong_GB2312" w:eastAsia="FangSong_GB2312" w:hAnsi="微软雅黑" w:hint="eastAsia"/>
          <w:color w:val="242424"/>
        </w:rPr>
        <w:t>诫勉。</w:t>
      </w:r>
      <w:r w:rsidRPr="005110EC">
        <w:rPr>
          <w:rFonts w:ascii="FangSong_GB2312" w:eastAsia="FangSong_GB2312" w:hAnsi="微软雅黑" w:hint="eastAsia"/>
          <w:color w:val="242424"/>
        </w:rPr>
        <w:t>对失职失责、情节较轻的，应当以谈话或者书面方式进行诫勉。</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（三）</w:t>
      </w:r>
      <w:r w:rsidRPr="005110EC">
        <w:rPr>
          <w:rStyle w:val="a5"/>
          <w:rFonts w:ascii="FangSong_GB2312" w:eastAsia="FangSong_GB2312" w:hAnsi="微软雅黑" w:hint="eastAsia"/>
          <w:color w:val="242424"/>
        </w:rPr>
        <w:t>组织调整或者组织处理。</w:t>
      </w:r>
      <w:r w:rsidRPr="005110EC">
        <w:rPr>
          <w:rFonts w:ascii="FangSong_GB2312" w:eastAsia="FangSong_GB2312" w:hAnsi="微软雅黑" w:hint="eastAsia"/>
          <w:color w:val="242424"/>
        </w:rPr>
        <w:t>对失职失责、情节较重，不适宜担任现职的，应当根据情况采取停职检查、调整职务、责令辞职、降职、免职等措施。</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（四）</w:t>
      </w:r>
      <w:r w:rsidRPr="005110EC">
        <w:rPr>
          <w:rStyle w:val="a5"/>
          <w:rFonts w:ascii="FangSong_GB2312" w:eastAsia="FangSong_GB2312" w:hAnsi="微软雅黑" w:hint="eastAsia"/>
          <w:color w:val="242424"/>
        </w:rPr>
        <w:t>纪律处分。</w:t>
      </w:r>
      <w:r w:rsidRPr="005110EC">
        <w:rPr>
          <w:rFonts w:ascii="FangSong_GB2312" w:eastAsia="FangSong_GB2312" w:hAnsi="微软雅黑" w:hint="eastAsia"/>
          <w:color w:val="242424"/>
        </w:rPr>
        <w:t>对失职失责应当给予纪律处分的，依照《中国共产党纪律处分条例》追究纪律责任。</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上述问责方式，可以单独使用，也可以合并使用。</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lastRenderedPageBreak/>
        <w:t xml:space="preserve">　　</w:t>
      </w:r>
      <w:r w:rsidRPr="005110EC">
        <w:rPr>
          <w:rStyle w:val="a5"/>
          <w:rFonts w:ascii="FangSong_GB2312" w:eastAsia="FangSong_GB2312" w:hAnsi="微软雅黑" w:hint="eastAsia"/>
          <w:color w:val="242424"/>
        </w:rPr>
        <w:t>第八条</w:t>
      </w:r>
      <w:r w:rsidRPr="005110EC">
        <w:rPr>
          <w:rFonts w:ascii="FangSong_GB2312" w:eastAsia="FangSong_GB2312" w:hAnsi="微软雅黑" w:hint="eastAsia"/>
          <w:color w:val="242424"/>
        </w:rPr>
        <w:t>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w:t>
      </w:r>
      <w:r w:rsidRPr="005110EC">
        <w:rPr>
          <w:rStyle w:val="a5"/>
          <w:rFonts w:ascii="FangSong_GB2312" w:eastAsia="FangSong_GB2312" w:hAnsi="微软雅黑" w:hint="eastAsia"/>
          <w:color w:val="242424"/>
        </w:rPr>
        <w:t>第九条</w:t>
      </w:r>
      <w:r w:rsidRPr="005110EC">
        <w:rPr>
          <w:rFonts w:ascii="FangSong_GB2312" w:eastAsia="FangSong_GB2312" w:hAnsi="微软雅黑" w:hint="eastAsia"/>
          <w:color w:val="242424"/>
        </w:rPr>
        <w:t>问责决定作出后，应当及时向被问责党组织或者党的领导干部及其所在党组织宣布并督促执行。有关问责情况应当向组织部门通报，组织部门应当将问责决定材料归入被问责领导干部个人档案，并报上一级组织部门备案；涉及组织调整或者组织处理的，应当在一个月内办理完毕相应手续。</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受到问责的党的领导干部应当向问责决定机关写出书面检讨，并在民主生活会或者其他党的会议上作出深刻检查。建立健全问责典型问题通报曝光制度，采取组织调整或者组织处理、纪律处分方式问责的，一般应当向社会公开。</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w:t>
      </w:r>
      <w:r w:rsidRPr="005110EC">
        <w:rPr>
          <w:rStyle w:val="a5"/>
          <w:rFonts w:ascii="FangSong_GB2312" w:eastAsia="FangSong_GB2312" w:hAnsi="微软雅黑" w:hint="eastAsia"/>
          <w:color w:val="242424"/>
        </w:rPr>
        <w:t>第十条</w:t>
      </w:r>
      <w:r w:rsidRPr="005110EC">
        <w:rPr>
          <w:rFonts w:ascii="FangSong_GB2312" w:eastAsia="FangSong_GB2312" w:hAnsi="微软雅黑" w:hint="eastAsia"/>
          <w:color w:val="242424"/>
        </w:rPr>
        <w:t>实行终身问责，对失职失责性质恶劣、后果严重的，不论其责任人是否调离转岗、提拔或者退休，都应当严肃问责。</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w:t>
      </w:r>
      <w:r w:rsidRPr="005110EC">
        <w:rPr>
          <w:rStyle w:val="a5"/>
          <w:rFonts w:ascii="FangSong_GB2312" w:eastAsia="FangSong_GB2312" w:hAnsi="微软雅黑" w:hint="eastAsia"/>
          <w:color w:val="242424"/>
        </w:rPr>
        <w:t>第十一条</w:t>
      </w:r>
      <w:r w:rsidRPr="005110EC">
        <w:rPr>
          <w:rFonts w:ascii="FangSong_GB2312" w:eastAsia="FangSong_GB2312" w:hAnsi="微软雅黑" w:hint="eastAsia"/>
          <w:color w:val="242424"/>
        </w:rPr>
        <w:t>各省、自治区、直辖市党委，中央各部委，中央国家机关各部委党组（党委），可以根据本条例制定实施办法。</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中央军事委员会可以根据本条例制定相关规定。</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w:t>
      </w:r>
      <w:r w:rsidRPr="005110EC">
        <w:rPr>
          <w:rStyle w:val="a5"/>
          <w:rFonts w:ascii="FangSong_GB2312" w:eastAsia="FangSong_GB2312" w:hAnsi="微软雅黑" w:hint="eastAsia"/>
          <w:color w:val="242424"/>
        </w:rPr>
        <w:t>第十二条</w:t>
      </w:r>
      <w:r w:rsidRPr="005110EC">
        <w:rPr>
          <w:rFonts w:ascii="FangSong_GB2312" w:eastAsia="FangSong_GB2312" w:hAnsi="微软雅黑" w:hint="eastAsia"/>
          <w:color w:val="242424"/>
        </w:rPr>
        <w:t>本条例由中央纪律检查委员会负责解释。</w:t>
      </w:r>
    </w:p>
    <w:p w:rsidR="00DA57BC" w:rsidRPr="005110EC" w:rsidRDefault="00DA57BC" w:rsidP="00DA57BC">
      <w:pPr>
        <w:pStyle w:val="a4"/>
        <w:shd w:val="clear" w:color="auto" w:fill="FFFFFF"/>
        <w:spacing w:before="0" w:beforeAutospacing="0" w:after="0" w:afterAutospacing="0" w:line="500" w:lineRule="exact"/>
        <w:rPr>
          <w:rFonts w:ascii="FangSong_GB2312" w:eastAsia="FangSong_GB2312" w:hAnsi="微软雅黑"/>
          <w:color w:val="242424"/>
        </w:rPr>
      </w:pPr>
      <w:r w:rsidRPr="005110EC">
        <w:rPr>
          <w:rFonts w:ascii="FangSong_GB2312" w:eastAsia="FangSong_GB2312" w:hAnsi="微软雅黑" w:hint="eastAsia"/>
          <w:color w:val="242424"/>
        </w:rPr>
        <w:t xml:space="preserve">　　</w:t>
      </w:r>
      <w:r w:rsidRPr="005110EC">
        <w:rPr>
          <w:rStyle w:val="a5"/>
          <w:rFonts w:ascii="FangSong_GB2312" w:eastAsia="FangSong_GB2312" w:hAnsi="微软雅黑" w:hint="eastAsia"/>
          <w:color w:val="242424"/>
        </w:rPr>
        <w:t>第十三条</w:t>
      </w:r>
      <w:r w:rsidRPr="005110EC">
        <w:rPr>
          <w:rFonts w:ascii="FangSong_GB2312" w:eastAsia="FangSong_GB2312" w:hAnsi="微软雅黑" w:hint="eastAsia"/>
          <w:color w:val="242424"/>
        </w:rPr>
        <w:t>本条例自2016年7月8日起施行。此前发布的有关问责的规定，凡与本条例不一致的，按照本条例执行。</w:t>
      </w:r>
    </w:p>
    <w:p w:rsidR="001678AB" w:rsidRPr="005110EC" w:rsidRDefault="001678AB" w:rsidP="00DA57BC">
      <w:pPr>
        <w:spacing w:line="500" w:lineRule="exact"/>
        <w:rPr>
          <w:rFonts w:ascii="FangSong_GB2312" w:eastAsia="FangSong_GB2312"/>
        </w:rPr>
      </w:pPr>
    </w:p>
    <w:sectPr w:rsidR="001678AB" w:rsidRPr="005110EC" w:rsidSect="005A346F">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3FE" w:rsidRDefault="006803FE" w:rsidP="005A346F">
      <w:r>
        <w:separator/>
      </w:r>
    </w:p>
  </w:endnote>
  <w:endnote w:type="continuationSeparator" w:id="0">
    <w:p w:rsidR="006803FE" w:rsidRDefault="006803FE" w:rsidP="005A34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406047"/>
      <w:docPartObj>
        <w:docPartGallery w:val="Page Numbers (Bottom of Page)"/>
        <w:docPartUnique/>
      </w:docPartObj>
    </w:sdtPr>
    <w:sdtContent>
      <w:p w:rsidR="005A346F" w:rsidRDefault="00334718">
        <w:pPr>
          <w:pStyle w:val="a7"/>
          <w:jc w:val="center"/>
        </w:pPr>
        <w:fldSimple w:instr=" PAGE   \* MERGEFORMAT ">
          <w:r w:rsidR="002E2C61" w:rsidRPr="002E2C61">
            <w:rPr>
              <w:noProof/>
              <w:lang w:val="zh-CN"/>
            </w:rPr>
            <w:t>-</w:t>
          </w:r>
          <w:r w:rsidR="002E2C61">
            <w:rPr>
              <w:noProof/>
            </w:rPr>
            <w:t xml:space="preserve"> 1 -</w:t>
          </w:r>
        </w:fldSimple>
      </w:p>
    </w:sdtContent>
  </w:sdt>
  <w:p w:rsidR="005A346F" w:rsidRDefault="005A34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3FE" w:rsidRDefault="006803FE" w:rsidP="005A346F">
      <w:r>
        <w:separator/>
      </w:r>
    </w:p>
  </w:footnote>
  <w:footnote w:type="continuationSeparator" w:id="0">
    <w:p w:rsidR="006803FE" w:rsidRDefault="006803FE" w:rsidP="005A34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57BC"/>
    <w:rsid w:val="001678AB"/>
    <w:rsid w:val="00261CBA"/>
    <w:rsid w:val="002E2C61"/>
    <w:rsid w:val="00334718"/>
    <w:rsid w:val="003642EB"/>
    <w:rsid w:val="005110EC"/>
    <w:rsid w:val="005A346F"/>
    <w:rsid w:val="006803FE"/>
    <w:rsid w:val="008754EF"/>
    <w:rsid w:val="008A7364"/>
    <w:rsid w:val="00C26F98"/>
    <w:rsid w:val="00DA5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2">
    <w:name w:val="f22"/>
    <w:basedOn w:val="a"/>
    <w:rsid w:val="00DA57BC"/>
    <w:pPr>
      <w:widowControl/>
      <w:spacing w:before="100" w:beforeAutospacing="1" w:after="100" w:afterAutospacing="1"/>
      <w:jc w:val="left"/>
    </w:pPr>
    <w:rPr>
      <w:rFonts w:ascii="宋体" w:eastAsia="宋体" w:hAnsi="宋体" w:cs="宋体"/>
      <w:kern w:val="0"/>
      <w:sz w:val="24"/>
      <w:szCs w:val="24"/>
    </w:rPr>
  </w:style>
  <w:style w:type="paragraph" w:customStyle="1" w:styleId="lh30">
    <w:name w:val="lh30"/>
    <w:basedOn w:val="a"/>
    <w:rsid w:val="00DA57BC"/>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DA57BC"/>
    <w:rPr>
      <w:color w:val="0000FF"/>
      <w:u w:val="single"/>
    </w:rPr>
  </w:style>
  <w:style w:type="paragraph" w:styleId="a4">
    <w:name w:val="Normal (Web)"/>
    <w:basedOn w:val="a"/>
    <w:uiPriority w:val="99"/>
    <w:unhideWhenUsed/>
    <w:rsid w:val="00DA57B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A57BC"/>
    <w:rPr>
      <w:b/>
      <w:bCs/>
    </w:rPr>
  </w:style>
  <w:style w:type="paragraph" w:styleId="a6">
    <w:name w:val="header"/>
    <w:basedOn w:val="a"/>
    <w:link w:val="Char"/>
    <w:uiPriority w:val="99"/>
    <w:semiHidden/>
    <w:unhideWhenUsed/>
    <w:rsid w:val="005A34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A346F"/>
    <w:rPr>
      <w:sz w:val="18"/>
      <w:szCs w:val="18"/>
    </w:rPr>
  </w:style>
  <w:style w:type="paragraph" w:styleId="a7">
    <w:name w:val="footer"/>
    <w:basedOn w:val="a"/>
    <w:link w:val="Char0"/>
    <w:uiPriority w:val="99"/>
    <w:unhideWhenUsed/>
    <w:rsid w:val="005A346F"/>
    <w:pPr>
      <w:tabs>
        <w:tab w:val="center" w:pos="4153"/>
        <w:tab w:val="right" w:pos="8306"/>
      </w:tabs>
      <w:snapToGrid w:val="0"/>
      <w:jc w:val="left"/>
    </w:pPr>
    <w:rPr>
      <w:sz w:val="18"/>
      <w:szCs w:val="18"/>
    </w:rPr>
  </w:style>
  <w:style w:type="character" w:customStyle="1" w:styleId="Char0">
    <w:name w:val="页脚 Char"/>
    <w:basedOn w:val="a0"/>
    <w:link w:val="a7"/>
    <w:uiPriority w:val="99"/>
    <w:rsid w:val="005A346F"/>
    <w:rPr>
      <w:sz w:val="18"/>
      <w:szCs w:val="18"/>
    </w:rPr>
  </w:style>
</w:styles>
</file>

<file path=word/webSettings.xml><?xml version="1.0" encoding="utf-8"?>
<w:webSettings xmlns:r="http://schemas.openxmlformats.org/officeDocument/2006/relationships" xmlns:w="http://schemas.openxmlformats.org/wordprocessingml/2006/main">
  <w:divs>
    <w:div w:id="766776437">
      <w:bodyDiv w:val="1"/>
      <w:marLeft w:val="0"/>
      <w:marRight w:val="0"/>
      <w:marTop w:val="0"/>
      <w:marBottom w:val="0"/>
      <w:divBdr>
        <w:top w:val="none" w:sz="0" w:space="0" w:color="auto"/>
        <w:left w:val="none" w:sz="0" w:space="0" w:color="auto"/>
        <w:bottom w:val="none" w:sz="0" w:space="0" w:color="auto"/>
        <w:right w:val="none" w:sz="0" w:space="0" w:color="auto"/>
      </w:divBdr>
    </w:div>
    <w:div w:id="1426800894">
      <w:bodyDiv w:val="1"/>
      <w:marLeft w:val="0"/>
      <w:marRight w:val="0"/>
      <w:marTop w:val="0"/>
      <w:marBottom w:val="0"/>
      <w:divBdr>
        <w:top w:val="none" w:sz="0" w:space="0" w:color="auto"/>
        <w:left w:val="none" w:sz="0" w:space="0" w:color="auto"/>
        <w:bottom w:val="none" w:sz="0" w:space="0" w:color="auto"/>
        <w:right w:val="none" w:sz="0" w:space="0" w:color="auto"/>
      </w:divBdr>
      <w:divsChild>
        <w:div w:id="383257720">
          <w:marLeft w:val="0"/>
          <w:marRight w:val="0"/>
          <w:marTop w:val="0"/>
          <w:marBottom w:val="0"/>
          <w:divBdr>
            <w:top w:val="none" w:sz="0" w:space="0" w:color="auto"/>
            <w:left w:val="none" w:sz="0" w:space="0" w:color="auto"/>
            <w:bottom w:val="none" w:sz="0" w:space="0" w:color="auto"/>
            <w:right w:val="none" w:sz="0" w:space="0" w:color="auto"/>
          </w:divBdr>
          <w:divsChild>
            <w:div w:id="710223855">
              <w:marLeft w:val="0"/>
              <w:marRight w:val="0"/>
              <w:marTop w:val="0"/>
              <w:marBottom w:val="0"/>
              <w:divBdr>
                <w:top w:val="none" w:sz="0" w:space="0" w:color="auto"/>
                <w:left w:val="none" w:sz="0" w:space="0" w:color="auto"/>
                <w:bottom w:val="none" w:sz="0" w:space="0" w:color="auto"/>
                <w:right w:val="none" w:sz="0" w:space="0" w:color="auto"/>
              </w:divBdr>
              <w:divsChild>
                <w:div w:id="4973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lcxjw</dc:creator>
  <cp:lastModifiedBy>Administrator</cp:lastModifiedBy>
  <cp:revision>6</cp:revision>
  <cp:lastPrinted>2018-08-22T09:26:00Z</cp:lastPrinted>
  <dcterms:created xsi:type="dcterms:W3CDTF">2016-08-04T06:19:00Z</dcterms:created>
  <dcterms:modified xsi:type="dcterms:W3CDTF">2018-08-22T09:31:00Z</dcterms:modified>
</cp:coreProperties>
</file>